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53182" w:rsidRDefault="008423BA" w:rsidP="00C35AB4">
      <w:pPr>
        <w:ind w:left="0" w:hanging="1080"/>
      </w:pPr>
      <w:r w:rsidRPr="008423BA">
        <w:rPr>
          <w:noProof/>
          <w:color w:val="0F243E" w:themeColor="text2" w:themeShade="80"/>
          <w:sz w:val="39"/>
          <w:szCs w:val="39"/>
          <w:lang w:bidi="ar-SA"/>
        </w:rPr>
        <w:pict>
          <v:shapetype id="_x0000_t202" coordsize="21600,21600" o:spt="202" path="m0,0l0,21600,21600,21600,21600,0xe">
            <v:stroke joinstyle="miter"/>
            <v:path gradientshapeok="t" o:connecttype="rect"/>
          </v:shapetype>
          <v:shape id="Text Box 4" o:spid="_x0000_s1026" type="#_x0000_t202" style="position:absolute;margin-left:-70.15pt;margin-top:34.95pt;width:153.8pt;height:461.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fgg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" stroked="f">
            <v:textbox style="mso-next-textbox:#Text Box 4">
              <w:txbxContent>
                <w:p w:rsidR="00C95846" w:rsidRDefault="00C95846" w:rsidP="003C7F5A">
                  <w:pPr>
                    <w:spacing w:after="320"/>
                    <w:ind w:left="180"/>
                  </w:pPr>
                </w:p>
                <w:p w:rsidR="00C95846" w:rsidRDefault="00FF30F1" w:rsidP="00194547">
                  <w:pPr>
                    <w:ind w:left="180"/>
                  </w:pPr>
                  <w:r>
                    <w:t>Tom Gordon</w:t>
                  </w:r>
                  <w:r w:rsidR="00A03F35">
                    <w:br/>
                    <w:t>Executive</w:t>
                  </w:r>
                  <w:r w:rsidR="00C95846">
                    <w:t xml:space="preserve"> Director,</w:t>
                  </w:r>
                  <w:r w:rsidR="00C95846">
                    <w:br/>
                  </w:r>
                  <w:r w:rsidR="00C95846" w:rsidRPr="00995654">
                    <w:rPr>
                      <w:b/>
                    </w:rPr>
                    <w:t xml:space="preserve">Consumers for a </w:t>
                  </w:r>
                  <w:r w:rsidR="00C95846" w:rsidRPr="00995654">
                    <w:rPr>
                      <w:b/>
                    </w:rPr>
                    <w:br/>
                    <w:t xml:space="preserve">Responsive Legal </w:t>
                  </w:r>
                  <w:r w:rsidR="00C95846" w:rsidRPr="00995654">
                    <w:rPr>
                      <w:b/>
                    </w:rPr>
                    <w:br/>
                    <w:t>System</w:t>
                  </w:r>
                  <w:r w:rsidR="00C95846" w:rsidRPr="00995654">
                    <w:t xml:space="preserve"> </w:t>
                  </w:r>
                </w:p>
                <w:p w:rsidR="00C95846" w:rsidRDefault="00C95846" w:rsidP="00194547">
                  <w:pPr>
                    <w:ind w:left="180"/>
                  </w:pPr>
                </w:p>
                <w:p w:rsidR="00C95846" w:rsidRDefault="00C95846" w:rsidP="00194547">
                  <w:pPr>
                    <w:ind w:left="180"/>
                  </w:pPr>
                  <w:r>
                    <w:t xml:space="preserve">Testimony </w:t>
                  </w:r>
                  <w:r w:rsidR="00F6637E">
                    <w:t>To</w:t>
                  </w:r>
                  <w:r>
                    <w:t xml:space="preserve"> the</w:t>
                  </w:r>
                </w:p>
                <w:p w:rsidR="00C95846" w:rsidRDefault="00AA11BD" w:rsidP="00194547">
                  <w:pPr>
                    <w:ind w:left="180"/>
                  </w:pPr>
                  <w:r>
                    <w:rPr>
                      <w:rFonts w:ascii="Cambria" w:hAnsi="Cambria"/>
                      <w:b/>
                    </w:rPr>
                    <w:t xml:space="preserve">Connecticut </w:t>
                  </w:r>
                  <w:r w:rsidR="00F6637E">
                    <w:rPr>
                      <w:rFonts w:ascii="Cambria" w:hAnsi="Cambria"/>
                      <w:b/>
                    </w:rPr>
                    <w:t>Joint Committee on Judiciary</w:t>
                  </w:r>
                </w:p>
                <w:p w:rsidR="00C95846" w:rsidRDefault="00C95846" w:rsidP="00194547">
                  <w:pPr>
                    <w:ind w:left="180"/>
                  </w:pPr>
                </w:p>
                <w:p w:rsidR="00C95846" w:rsidRDefault="00C95846" w:rsidP="00194547">
                  <w:pPr>
                    <w:ind w:left="180"/>
                  </w:pPr>
                </w:p>
                <w:p w:rsidR="00C95846" w:rsidRDefault="00AA11BD" w:rsidP="00194547">
                  <w:pPr>
                    <w:ind w:left="180"/>
                  </w:pPr>
                  <w:r>
                    <w:t xml:space="preserve">April </w:t>
                  </w:r>
                  <w:r w:rsidR="00F6637E">
                    <w:t>25,</w:t>
                  </w:r>
                  <w:r w:rsidR="00C95846">
                    <w:t xml:space="preserve"> 2013</w:t>
                  </w:r>
                </w:p>
                <w:p w:rsidR="00C95846" w:rsidRDefault="00C95846" w:rsidP="00194547">
                  <w:pPr>
                    <w:ind w:left="180"/>
                  </w:pPr>
                </w:p>
                <w:p w:rsidR="00C95846" w:rsidRDefault="00C95846" w:rsidP="00194547">
                  <w:pPr>
                    <w:ind w:left="180"/>
                  </w:pPr>
                </w:p>
              </w:txbxContent>
            </v:textbox>
          </v:shape>
        </w:pict>
      </w:r>
      <w:r w:rsidR="00B86E57" w:rsidRPr="00C35AB4">
        <w:rPr>
          <w:color w:val="0F243E" w:themeColor="text2" w:themeShade="80"/>
          <w:sz w:val="39"/>
          <w:szCs w:val="39"/>
        </w:rPr>
        <w:t>Testimony</w:t>
      </w:r>
      <w:r w:rsidR="005F06F8" w:rsidRPr="00C35AB4">
        <w:rPr>
          <w:color w:val="0F243E" w:themeColor="text2" w:themeShade="80"/>
          <w:sz w:val="39"/>
          <w:szCs w:val="39"/>
        </w:rPr>
        <w:t xml:space="preserve"> </w:t>
      </w:r>
      <w:r w:rsidR="00EE6B48" w:rsidRPr="00C35AB4">
        <w:rPr>
          <w:color w:val="0F243E" w:themeColor="text2" w:themeShade="80"/>
          <w:sz w:val="39"/>
          <w:szCs w:val="39"/>
        </w:rPr>
        <w:t>on:</w:t>
      </w:r>
      <w:r w:rsidR="00EE6B48" w:rsidRPr="00C35AB4">
        <w:rPr>
          <w:color w:val="0F243E" w:themeColor="text2" w:themeShade="80"/>
          <w:sz w:val="39"/>
          <w:szCs w:val="39"/>
        </w:rPr>
        <w:tab/>
      </w:r>
      <w:r w:rsidR="00EE6B48">
        <w:rPr>
          <w:color w:val="0F243E" w:themeColor="text2" w:themeShade="80"/>
          <w:sz w:val="40"/>
          <w:szCs w:val="40"/>
        </w:rPr>
        <w:tab/>
      </w:r>
      <w:r w:rsidR="00C35AB4" w:rsidRPr="00C35AB4">
        <w:rPr>
          <w:noProof/>
          <w:color w:val="0F243E" w:themeColor="text2" w:themeShade="80"/>
          <w:sz w:val="38"/>
          <w:szCs w:val="38"/>
          <w:lang w:bidi="ar-SA"/>
        </w:rPr>
        <w:t>S.B. 829</w:t>
      </w:r>
      <w:r w:rsidR="00AA11BD" w:rsidRPr="00C35AB4">
        <w:rPr>
          <w:noProof/>
          <w:color w:val="0F243E" w:themeColor="text2" w:themeShade="80"/>
          <w:sz w:val="38"/>
          <w:szCs w:val="38"/>
          <w:lang w:bidi="ar-SA"/>
        </w:rPr>
        <w:t xml:space="preserve"> –</w:t>
      </w:r>
      <w:r w:rsidR="00C35AB4" w:rsidRPr="00C35AB4">
        <w:rPr>
          <w:noProof/>
          <w:color w:val="0F243E" w:themeColor="text2" w:themeShade="80"/>
          <w:sz w:val="38"/>
          <w:szCs w:val="38"/>
          <w:lang w:bidi="ar-SA"/>
        </w:rPr>
        <w:t xml:space="preserve"> </w:t>
      </w:r>
      <w:r w:rsidR="00AA11BD" w:rsidRPr="00C35AB4">
        <w:rPr>
          <w:noProof/>
          <w:color w:val="0F243E" w:themeColor="text2" w:themeShade="80"/>
          <w:sz w:val="38"/>
          <w:szCs w:val="38"/>
          <w:lang w:bidi="ar-SA"/>
        </w:rPr>
        <w:t>Unauthorized Practice of Law</w:t>
      </w:r>
    </w:p>
    <w:p w:rsidR="0012772E" w:rsidRDefault="0012772E" w:rsidP="00A257FC">
      <w:pPr>
        <w:rPr>
          <w:rFonts w:ascii="Cambria" w:hAnsi="Cambria"/>
        </w:rPr>
      </w:pPr>
      <w:r w:rsidRPr="0012772E">
        <w:rPr>
          <w:rFonts w:ascii="Cambria" w:hAnsi="Cambria"/>
        </w:rPr>
        <w:t xml:space="preserve">Consumers for a Responsive Legal System (“Responsive Law”) thanks the </w:t>
      </w:r>
      <w:r w:rsidR="00AA11BD">
        <w:rPr>
          <w:rFonts w:ascii="Cambria" w:hAnsi="Cambria"/>
        </w:rPr>
        <w:t>House</w:t>
      </w:r>
      <w:r w:rsidRPr="0012772E">
        <w:rPr>
          <w:rFonts w:ascii="Cambria" w:hAnsi="Cambria"/>
        </w:rPr>
        <w:t xml:space="preserve"> for the opportunity to present its testimony on </w:t>
      </w:r>
      <w:r w:rsidR="008E155C">
        <w:rPr>
          <w:rFonts w:ascii="Cambria" w:hAnsi="Cambria"/>
        </w:rPr>
        <w:t>Senate Bill 829, concerning the unauthorized practice of law.</w:t>
      </w:r>
      <w:r w:rsidR="0045443C">
        <w:rPr>
          <w:rFonts w:ascii="Cambria" w:hAnsi="Cambria"/>
        </w:rPr>
        <w:t xml:space="preserve"> </w:t>
      </w:r>
      <w:r w:rsidRPr="0012772E">
        <w:rPr>
          <w:rFonts w:ascii="Cambria" w:hAnsi="Cambria"/>
        </w:rPr>
        <w:t>Responsive Law is a national nonprofit organization working to make the civil legal system more affordable, accessible</w:t>
      </w:r>
      <w:r w:rsidR="00590A37">
        <w:rPr>
          <w:rFonts w:ascii="Cambria" w:hAnsi="Cambria"/>
        </w:rPr>
        <w:t>,</w:t>
      </w:r>
      <w:r w:rsidRPr="0012772E">
        <w:rPr>
          <w:rFonts w:ascii="Cambria" w:hAnsi="Cambria"/>
        </w:rPr>
        <w:t xml:space="preserve"> and accountable to the people. </w:t>
      </w:r>
    </w:p>
    <w:p w:rsidR="00BD7D57" w:rsidRDefault="00FC45B9" w:rsidP="00BD7D57">
      <w:r w:rsidRPr="009D4481">
        <w:rPr>
          <w:b/>
        </w:rPr>
        <w:t>We oppose the passage of the bill</w:t>
      </w:r>
      <w:r w:rsidR="003B77DA">
        <w:rPr>
          <w:b/>
        </w:rPr>
        <w:t>, which greatly expands the definition of the unauthorized practice of law and makes it a felony, punishable by five years in prison.</w:t>
      </w:r>
      <w:r w:rsidR="00653581">
        <w:rPr>
          <w:b/>
        </w:rPr>
        <w:t xml:space="preserve"> </w:t>
      </w:r>
      <w:r w:rsidR="00BD7D57">
        <w:t xml:space="preserve">The bill makes two critical changes to the regulation of the unauthorized practice of law (UPL) </w:t>
      </w:r>
      <w:r w:rsidR="00F9406C">
        <w:t xml:space="preserve">in Connecticut. First, it changes the substantive UPL standard by incorporating the </w:t>
      </w:r>
      <w:r w:rsidR="003B77DA">
        <w:t xml:space="preserve">superior court’s definition of </w:t>
      </w:r>
      <w:r w:rsidR="00F9406C">
        <w:t>the “practice of law.” Second, it makes UPL a class D felony, punishable by</w:t>
      </w:r>
      <w:r w:rsidR="005522E6">
        <w:t xml:space="preserve"> up to</w:t>
      </w:r>
      <w:r w:rsidR="00F9406C">
        <w:t xml:space="preserve"> five years imprisonment, instead of a class C misdemeanor, punishable by</w:t>
      </w:r>
      <w:r w:rsidR="005522E6">
        <w:t xml:space="preserve"> up to</w:t>
      </w:r>
      <w:r w:rsidR="00F9406C">
        <w:t xml:space="preserve"> three months imprisonment. We oppose both changes.</w:t>
      </w:r>
    </w:p>
    <w:p w:rsidR="00F9406C" w:rsidRDefault="00F9406C" w:rsidP="00F9406C">
      <w:r>
        <w:t>Under the current UPL statute, a person who has not been admitted to the state bar is prohibited from, inter alia, “practice[ing] law”; “making it a business to practice law”; or indicating to the public that he or she practices, or is entitled to practice, law.</w:t>
      </w:r>
      <w:r>
        <w:rPr>
          <w:rStyle w:val="FootnoteReference"/>
        </w:rPr>
        <w:footnoteReference w:id="1"/>
      </w:r>
      <w:r>
        <w:t xml:space="preserve"> The bill maintains this statutory definition,</w:t>
      </w:r>
      <w:r>
        <w:rPr>
          <w:rStyle w:val="FootnoteReference"/>
        </w:rPr>
        <w:footnoteReference w:id="2"/>
      </w:r>
      <w:r>
        <w:t xml:space="preserve"> with two significant changes: first, the bill exempts legal services provided pursuant to statute or superior court rule;</w:t>
      </w:r>
      <w:r w:rsidR="005842E5">
        <w:t xml:space="preserve"> and</w:t>
      </w:r>
      <w:r>
        <w:t xml:space="preserve"> second, the bill incorporates “engag[ing] in the practice of law </w:t>
      </w:r>
      <w:r w:rsidRPr="00CA3CC5">
        <w:rPr>
          <w:i/>
        </w:rPr>
        <w:t>as defined by . . . rule of the superior court</w:t>
      </w:r>
      <w:r>
        <w:t>.”</w:t>
      </w:r>
      <w:r>
        <w:rPr>
          <w:rStyle w:val="FootnoteReference"/>
        </w:rPr>
        <w:footnoteReference w:id="3"/>
      </w:r>
      <w:r>
        <w:t xml:space="preserve"> The fir</w:t>
      </w:r>
      <w:r w:rsidR="00B46820">
        <w:t xml:space="preserve">st change is entirely salutary – it </w:t>
      </w:r>
      <w:r>
        <w:t>protec</w:t>
      </w:r>
      <w:r w:rsidR="00B46820">
        <w:t>ts</w:t>
      </w:r>
      <w:r w:rsidR="000C7DD8">
        <w:t xml:space="preserve"> those who provide statute</w:t>
      </w:r>
      <w:r>
        <w:t>- or court-directed services from the threat of prosecution and the accompanying chill that could otherwise hinder legislative or judicial efforts at providing alternative legal services. The second change, however, is affirmati</w:t>
      </w:r>
      <w:r w:rsidR="00DF1E02">
        <w:t>vely harmful to legal consumers because t</w:t>
      </w:r>
      <w:r>
        <w:t>he superior court UPL rule is expansive, overbroad, and inappropriate for a criminal statute.</w:t>
      </w:r>
    </w:p>
    <w:p w:rsidR="00ED234A" w:rsidRDefault="00ED234A" w:rsidP="0024595A">
      <w:pPr>
        <w:spacing w:after="0"/>
        <w:rPr>
          <w:rFonts w:eastAsia="Times New Roman" w:cs="Times New Roman"/>
          <w:szCs w:val="24"/>
        </w:rPr>
      </w:pPr>
    </w:p>
    <w:p w:rsidR="00AC1B9E" w:rsidRPr="009F30B8" w:rsidRDefault="00AC1B9E" w:rsidP="00012C27">
      <w:pPr>
        <w:spacing w:after="80"/>
        <w:rPr>
          <w:b/>
        </w:rPr>
      </w:pPr>
      <w:r>
        <w:rPr>
          <w:b/>
        </w:rPr>
        <w:t>The bill create</w:t>
      </w:r>
      <w:r w:rsidR="003C6B28">
        <w:rPr>
          <w:b/>
        </w:rPr>
        <w:t>s</w:t>
      </w:r>
      <w:r>
        <w:rPr>
          <w:b/>
        </w:rPr>
        <w:t xml:space="preserve"> a vague and overbroad standard of liability.</w:t>
      </w:r>
    </w:p>
    <w:p w:rsidR="00AC1B9E" w:rsidRPr="001B75A9" w:rsidRDefault="00AC1B9E" w:rsidP="00AC1B9E">
      <w:r>
        <w:t xml:space="preserve">The </w:t>
      </w:r>
      <w:r w:rsidR="00A643AF">
        <w:t xml:space="preserve">current </w:t>
      </w:r>
      <w:r>
        <w:t xml:space="preserve">superior court </w:t>
      </w:r>
      <w:r w:rsidR="00A643AF">
        <w:t>rule</w:t>
      </w:r>
      <w:r>
        <w:t xml:space="preserve"> defines the “practice of law” as </w:t>
      </w:r>
      <w:r>
        <w:rPr>
          <w:rFonts w:eastAsia="Times New Roman" w:cs="Times New Roman"/>
        </w:rPr>
        <w:t>“</w:t>
      </w:r>
      <w:r w:rsidRPr="008C76FC">
        <w:rPr>
          <w:rFonts w:eastAsia="Times New Roman" w:cs="Times New Roman"/>
        </w:rPr>
        <w:t>ministering to the legal needs of another person and applying legal principles and judgment to the circumstances or objectives of that person</w:t>
      </w:r>
      <w:r>
        <w:rPr>
          <w:rFonts w:eastAsia="Times New Roman" w:cs="Times New Roman"/>
        </w:rPr>
        <w:t>.”</w:t>
      </w:r>
      <w:r>
        <w:rPr>
          <w:rStyle w:val="FootnoteReference"/>
        </w:rPr>
        <w:footnoteReference w:id="4"/>
      </w:r>
      <w:r>
        <w:rPr>
          <w:rFonts w:eastAsia="Times New Roman" w:cs="Times New Roman"/>
        </w:rPr>
        <w:t xml:space="preserve"> The superior court rule also provides a non-exhaustive list of qualifying conduct, including any “</w:t>
      </w:r>
      <w:r w:rsidRPr="005958B7">
        <w:rPr>
          <w:rFonts w:eastAsia="Times New Roman" w:cs="Times New Roman"/>
        </w:rPr>
        <w:t xml:space="preserve">act which </w:t>
      </w:r>
      <w:r w:rsidRPr="00F5760E">
        <w:rPr>
          <w:rFonts w:eastAsia="Times New Roman" w:cs="Times New Roman"/>
          <w:i/>
        </w:rPr>
        <w:t>may indicate</w:t>
      </w:r>
      <w:r w:rsidRPr="005958B7">
        <w:rPr>
          <w:rFonts w:eastAsia="Times New Roman" w:cs="Times New Roman"/>
        </w:rPr>
        <w:t xml:space="preserve"> an occurrence of the authorized practice of law </w:t>
      </w:r>
      <w:r>
        <w:rPr>
          <w:rFonts w:eastAsia="Times New Roman" w:cs="Times New Roman"/>
        </w:rPr>
        <w:t>. . .</w:t>
      </w:r>
      <w:r w:rsidRPr="005958B7">
        <w:rPr>
          <w:rFonts w:eastAsia="Times New Roman" w:cs="Times New Roman"/>
        </w:rPr>
        <w:t xml:space="preserve"> as established by case law, sta</w:t>
      </w:r>
      <w:r>
        <w:rPr>
          <w:rFonts w:eastAsia="Times New Roman" w:cs="Times New Roman"/>
        </w:rPr>
        <w:t>tute, ruling or other authority”</w:t>
      </w:r>
      <w:r>
        <w:rPr>
          <w:rStyle w:val="FootnoteReference"/>
          <w:rFonts w:eastAsia="Times New Roman" w:cs="Times New Roman"/>
        </w:rPr>
        <w:footnoteReference w:id="5"/>
      </w:r>
      <w:r>
        <w:rPr>
          <w:rFonts w:eastAsia="Times New Roman" w:cs="Times New Roman"/>
        </w:rPr>
        <w:t xml:space="preserve"> – thereby incorporating the entire body of Connecticut decisional law, as well as unspecified “other authorit[ies].”</w:t>
      </w:r>
      <w:r w:rsidR="003835D8">
        <w:rPr>
          <w:rFonts w:eastAsia="Times New Roman" w:cs="Times New Roman"/>
        </w:rPr>
        <w:t xml:space="preserve"> T</w:t>
      </w:r>
      <w:r>
        <w:t>he superior court promulgated the current rule pursuant to its authority to create judicial rules of practice.</w:t>
      </w:r>
      <w:r>
        <w:rPr>
          <w:rStyle w:val="FootnoteReference"/>
        </w:rPr>
        <w:footnoteReference w:id="6"/>
      </w:r>
      <w:r>
        <w:t xml:space="preserve"> The superior court has equitable jurisdiction to restrain UPL violations,</w:t>
      </w:r>
      <w:r>
        <w:rPr>
          <w:rStyle w:val="FootnoteReference"/>
        </w:rPr>
        <w:footnoteReference w:id="7"/>
      </w:r>
      <w:r>
        <w:t xml:space="preserve"> and UPL cases in Connecticut have primarily consisted of injunctive actions, rather than criminal prosecutions.</w:t>
      </w:r>
      <w:r>
        <w:rPr>
          <w:rStyle w:val="FootnoteReference"/>
        </w:rPr>
        <w:footnoteReference w:id="8"/>
      </w:r>
      <w:r w:rsidR="006B05A4">
        <w:t xml:space="preserve"> </w:t>
      </w:r>
      <w:r>
        <w:t>Jurisdictions across the country have struggled to formulate a clear standard for differentiating legal from non-legal services. “</w:t>
      </w:r>
      <w:r w:rsidRPr="001B75A9">
        <w:t>The reason for t</w:t>
      </w:r>
      <w:r>
        <w:t>his is the broad field covered.”</w:t>
      </w:r>
      <w:r>
        <w:rPr>
          <w:rStyle w:val="FootnoteReference"/>
        </w:rPr>
        <w:footnoteReference w:id="9"/>
      </w:r>
      <w:r>
        <w:t xml:space="preserve"> As the Connecticut Supreme Court has repeatedly recognized, “[a]</w:t>
      </w:r>
      <w:r w:rsidRPr="001B75A9">
        <w:t>ttempts to define the practice of law have no</w:t>
      </w:r>
      <w:r>
        <w:t xml:space="preserve">t been particularly successful. [. . .] </w:t>
      </w:r>
      <w:r w:rsidRPr="001B75A9">
        <w:t xml:space="preserve">The more practical approach is to </w:t>
      </w:r>
      <w:r w:rsidRPr="00732A40">
        <w:rPr>
          <w:i/>
        </w:rPr>
        <w:t>consider each state of facts</w:t>
      </w:r>
      <w:r w:rsidRPr="001B75A9">
        <w:t xml:space="preserve"> and determine whether it falls within the </w:t>
      </w:r>
      <w:r w:rsidRPr="00F02DF8">
        <w:t>fair intendment of the term</w:t>
      </w:r>
      <w:r w:rsidRPr="001B75A9">
        <w:t>.”</w:t>
      </w:r>
      <w:r>
        <w:rPr>
          <w:rStyle w:val="FootnoteReference"/>
        </w:rPr>
        <w:footnoteReference w:id="10"/>
      </w:r>
      <w:r>
        <w:t xml:space="preserve"> This “practical approach” </w:t>
      </w:r>
      <w:r w:rsidR="00401F99">
        <w:t xml:space="preserve">has proven </w:t>
      </w:r>
      <w:r>
        <w:t>workable in the context of equitable enforcement, but is wholly inapplicable</w:t>
      </w:r>
      <w:r w:rsidR="00401F99">
        <w:t xml:space="preserve"> to</w:t>
      </w:r>
      <w:r>
        <w:t xml:space="preserve"> criminal prosecution.</w:t>
      </w:r>
      <w:r w:rsidR="003835D8">
        <w:rPr>
          <w:rStyle w:val="FootnoteReference"/>
        </w:rPr>
        <w:footnoteReference w:id="11"/>
      </w:r>
    </w:p>
    <w:p w:rsidR="00AC1B9E" w:rsidRDefault="00AC1B9E" w:rsidP="00AC1B9E">
      <w:r>
        <w:rPr>
          <w:rFonts w:eastAsia="Times New Roman" w:cs="Times New Roman"/>
        </w:rPr>
        <w:t xml:space="preserve">Although the rule includes a list of specifically </w:t>
      </w:r>
      <w:r w:rsidRPr="00A80B74">
        <w:rPr>
          <w:rFonts w:eastAsia="Times New Roman" w:cs="Times New Roman"/>
          <w:i/>
        </w:rPr>
        <w:t>permitted</w:t>
      </w:r>
      <w:r>
        <w:rPr>
          <w:rFonts w:eastAsia="Times New Roman" w:cs="Times New Roman"/>
        </w:rPr>
        <w:t xml:space="preserve"> conduct, these narrow exceptions do very little to constrain the sweeping language of the rule’s broad prohibition. Of the fifteen listed exceptions, eight are limited to highly particular classes of individuals – e.g., “neutral mediator[s],” “legislative lobbyist[s],” “statutorily authorized . . . licensed real-estate agent[s]” or “statutorily authorized . . . accountant[s].”</w:t>
      </w:r>
      <w:r>
        <w:rPr>
          <w:rStyle w:val="FootnoteReference"/>
          <w:rFonts w:eastAsia="Times New Roman" w:cs="Times New Roman"/>
        </w:rPr>
        <w:footnoteReference w:id="12"/>
      </w:r>
      <w:r>
        <w:rPr>
          <w:rFonts w:eastAsia="Times New Roman" w:cs="Times New Roman"/>
        </w:rPr>
        <w:t xml:space="preserve"> Another five are limited to highly particular situations – e.g., administrative hearings, labor negotiations, activities “</w:t>
      </w:r>
      <w:r>
        <w:t>preempted by federal law.”</w:t>
      </w:r>
      <w:r>
        <w:rPr>
          <w:rStyle w:val="FootnoteReference"/>
          <w:rFonts w:eastAsia="Times New Roman" w:cs="Times New Roman"/>
        </w:rPr>
        <w:footnoteReference w:id="13"/>
      </w:r>
      <w:r>
        <w:t xml:space="preserve"> A somewhat more substantive exception authorizes “provid[ing]</w:t>
      </w:r>
      <w:r w:rsidRPr="00037A15">
        <w:t xml:space="preserve"> information of a general nature about the law and legal proc</w:t>
      </w:r>
      <w:r>
        <w:t>edures to members of the public”;</w:t>
      </w:r>
      <w:r>
        <w:rPr>
          <w:rStyle w:val="FootnoteReference"/>
        </w:rPr>
        <w:footnoteReference w:id="14"/>
      </w:r>
      <w:r>
        <w:t xml:space="preserve"> however, neither “information of a general nature” nor “members of the public” are defined. The broadest</w:t>
      </w:r>
      <w:r w:rsidR="008751FC">
        <w:t xml:space="preserve"> </w:t>
      </w:r>
      <w:r>
        <w:t>exception is a catch-all provision excluding “</w:t>
      </w:r>
      <w:r w:rsidRPr="00987946">
        <w:t xml:space="preserve">such other activities as the courts of Connecticut have determined do not constitute </w:t>
      </w:r>
      <w:r>
        <w:t>[UPL]</w:t>
      </w:r>
      <w:r w:rsidRPr="00987946">
        <w:t>.</w:t>
      </w:r>
      <w:r>
        <w:t>”</w:t>
      </w:r>
      <w:r>
        <w:rPr>
          <w:rStyle w:val="FootnoteReference"/>
        </w:rPr>
        <w:footnoteReference w:id="15"/>
      </w:r>
      <w:r>
        <w:t xml:space="preserve"> </w:t>
      </w:r>
      <w:r w:rsidR="00482116">
        <w:t xml:space="preserve">Again, </w:t>
      </w:r>
      <w:r w:rsidR="00DD4316">
        <w:t xml:space="preserve">this </w:t>
      </w:r>
      <w:r w:rsidR="00410BBF">
        <w:rPr>
          <w:rFonts w:eastAsia="Times New Roman" w:cs="Times New Roman"/>
        </w:rPr>
        <w:t>incorporates</w:t>
      </w:r>
      <w:r w:rsidR="00482116">
        <w:rPr>
          <w:rFonts w:eastAsia="Times New Roman" w:cs="Times New Roman"/>
        </w:rPr>
        <w:t xml:space="preserve"> the entire body of Connecticut decisional law</w:t>
      </w:r>
      <w:r w:rsidR="00410BBF">
        <w:rPr>
          <w:rFonts w:eastAsia="Times New Roman" w:cs="Times New Roman"/>
        </w:rPr>
        <w:t xml:space="preserve"> </w:t>
      </w:r>
      <w:r w:rsidR="00C17DE4">
        <w:rPr>
          <w:rFonts w:eastAsia="Times New Roman" w:cs="Times New Roman"/>
        </w:rPr>
        <w:t>– decisional law which</w:t>
      </w:r>
      <w:r w:rsidR="004A5834">
        <w:rPr>
          <w:rFonts w:eastAsia="Times New Roman" w:cs="Times New Roman"/>
        </w:rPr>
        <w:t xml:space="preserve">, as noted above, </w:t>
      </w:r>
      <w:r w:rsidR="002748BD">
        <w:rPr>
          <w:rFonts w:eastAsia="Times New Roman" w:cs="Times New Roman"/>
        </w:rPr>
        <w:t>is primarily a product</w:t>
      </w:r>
      <w:r w:rsidR="004A5834">
        <w:rPr>
          <w:rFonts w:eastAsia="Times New Roman" w:cs="Times New Roman"/>
        </w:rPr>
        <w:t xml:space="preserve"> of equitable actions “</w:t>
      </w:r>
      <w:r w:rsidR="004A5834" w:rsidRPr="004A5834">
        <w:rPr>
          <w:rFonts w:eastAsia="Times New Roman" w:cs="Times New Roman"/>
        </w:rPr>
        <w:t>consider</w:t>
      </w:r>
      <w:r w:rsidR="004A5834">
        <w:rPr>
          <w:rFonts w:eastAsia="Times New Roman" w:cs="Times New Roman"/>
        </w:rPr>
        <w:t>[ing]</w:t>
      </w:r>
      <w:r w:rsidR="004A5834" w:rsidRPr="004A5834">
        <w:rPr>
          <w:rFonts w:eastAsia="Times New Roman" w:cs="Times New Roman"/>
        </w:rPr>
        <w:t xml:space="preserve"> each state of facts</w:t>
      </w:r>
      <w:r w:rsidR="004A5834">
        <w:rPr>
          <w:rFonts w:eastAsia="Times New Roman" w:cs="Times New Roman"/>
        </w:rPr>
        <w:t>.</w:t>
      </w:r>
      <w:r w:rsidR="002748BD">
        <w:rPr>
          <w:rFonts w:eastAsia="Times New Roman" w:cs="Times New Roman"/>
        </w:rPr>
        <w:t>”</w:t>
      </w:r>
      <w:r w:rsidR="00DD4316">
        <w:rPr>
          <w:rFonts w:eastAsia="Times New Roman" w:cs="Times New Roman"/>
        </w:rPr>
        <w:t xml:space="preserve"> </w:t>
      </w:r>
      <w:r w:rsidR="006F72AF">
        <w:rPr>
          <w:rFonts w:eastAsia="Times New Roman" w:cs="Times New Roman"/>
        </w:rPr>
        <w:t xml:space="preserve">Unsurprisingly, </w:t>
      </w:r>
      <w:r w:rsidR="001472BD">
        <w:rPr>
          <w:rFonts w:eastAsia="Times New Roman" w:cs="Times New Roman"/>
        </w:rPr>
        <w:t xml:space="preserve">these </w:t>
      </w:r>
      <w:r w:rsidR="006F72AF">
        <w:rPr>
          <w:rFonts w:eastAsia="Times New Roman" w:cs="Times New Roman"/>
        </w:rPr>
        <w:t>cases tend to be highly individualized</w:t>
      </w:r>
      <w:r w:rsidR="0023162B">
        <w:rPr>
          <w:rFonts w:eastAsia="Times New Roman" w:cs="Times New Roman"/>
        </w:rPr>
        <w:t xml:space="preserve"> and provide few articulable principles o</w:t>
      </w:r>
      <w:r w:rsidR="00435616">
        <w:rPr>
          <w:rFonts w:eastAsia="Times New Roman" w:cs="Times New Roman"/>
        </w:rPr>
        <w:t>n which individuals can rely in order to avoid the risk of criminal prosecution.</w:t>
      </w:r>
      <w:r w:rsidR="007853DC">
        <w:rPr>
          <w:rStyle w:val="FootnoteReference"/>
          <w:rFonts w:eastAsia="Times New Roman" w:cs="Times New Roman"/>
        </w:rPr>
        <w:footnoteReference w:id="16"/>
      </w:r>
    </w:p>
    <w:p w:rsidR="00092A23" w:rsidRPr="00092A23" w:rsidRDefault="00092A23" w:rsidP="00D97B19">
      <w:pPr>
        <w:spacing w:after="0"/>
        <w:rPr>
          <w:rFonts w:ascii="Cambria" w:hAnsi="Cambria"/>
        </w:rPr>
      </w:pPr>
    </w:p>
    <w:p w:rsidR="007F2D7D" w:rsidRPr="00DC399D" w:rsidRDefault="007F2D7D" w:rsidP="007F2D7D">
      <w:pPr>
        <w:spacing w:after="80"/>
        <w:rPr>
          <w:rFonts w:ascii="Cambria" w:eastAsiaTheme="minorHAnsi" w:hAnsi="Cambria"/>
          <w:b/>
        </w:rPr>
      </w:pPr>
      <w:r w:rsidRPr="00DC399D">
        <w:rPr>
          <w:b/>
        </w:rPr>
        <w:t>Th</w:t>
      </w:r>
      <w:r>
        <w:rPr>
          <w:b/>
        </w:rPr>
        <w:t>e</w:t>
      </w:r>
      <w:r w:rsidRPr="00DC399D">
        <w:rPr>
          <w:b/>
        </w:rPr>
        <w:t xml:space="preserve"> bill </w:t>
      </w:r>
      <w:r w:rsidRPr="00DC399D">
        <w:rPr>
          <w:rFonts w:eastAsia="Times New Roman" w:cs="Times New Roman"/>
          <w:b/>
        </w:rPr>
        <w:t>deprive</w:t>
      </w:r>
      <w:r w:rsidR="003C6B28">
        <w:rPr>
          <w:rFonts w:eastAsia="Times New Roman" w:cs="Times New Roman"/>
          <w:b/>
        </w:rPr>
        <w:t>s</w:t>
      </w:r>
      <w:r w:rsidRPr="00DC399D">
        <w:rPr>
          <w:rFonts w:eastAsia="Times New Roman" w:cs="Times New Roman"/>
          <w:b/>
        </w:rPr>
        <w:t xml:space="preserve"> consumers of </w:t>
      </w:r>
      <w:r w:rsidR="003C6B28">
        <w:rPr>
          <w:rFonts w:eastAsia="Times New Roman" w:cs="Times New Roman"/>
          <w:b/>
        </w:rPr>
        <w:t>valuable</w:t>
      </w:r>
      <w:r>
        <w:rPr>
          <w:rFonts w:eastAsia="Times New Roman" w:cs="Times New Roman"/>
          <w:b/>
        </w:rPr>
        <w:t xml:space="preserve"> information</w:t>
      </w:r>
      <w:r w:rsidR="003C6B28">
        <w:rPr>
          <w:rFonts w:eastAsia="Times New Roman" w:cs="Times New Roman"/>
          <w:b/>
        </w:rPr>
        <w:t xml:space="preserve"> and advice.</w:t>
      </w:r>
    </w:p>
    <w:p w:rsidR="007F2D7D" w:rsidRDefault="005E3AD9" w:rsidP="007F2D7D">
      <w:pPr>
        <w:rPr>
          <w:rFonts w:eastAsia="Times New Roman" w:cs="Times New Roman"/>
        </w:rPr>
      </w:pPr>
      <w:r>
        <w:rPr>
          <w:rFonts w:eastAsia="Times New Roman" w:cs="Times New Roman"/>
        </w:rPr>
        <w:t>The</w:t>
      </w:r>
      <w:r w:rsidR="007F2D7D">
        <w:rPr>
          <w:rFonts w:eastAsia="Times New Roman" w:cs="Times New Roman"/>
        </w:rPr>
        <w:t xml:space="preserve"> superior court rule </w:t>
      </w:r>
      <w:r>
        <w:rPr>
          <w:rFonts w:eastAsia="Times New Roman" w:cs="Times New Roman"/>
        </w:rPr>
        <w:t>also defines the “practice of law</w:t>
      </w:r>
      <w:r w:rsidR="007F2D7D">
        <w:rPr>
          <w:rFonts w:eastAsia="Times New Roman" w:cs="Times New Roman"/>
        </w:rPr>
        <w:t>”</w:t>
      </w:r>
      <w:r>
        <w:rPr>
          <w:rFonts w:eastAsia="Times New Roman" w:cs="Times New Roman"/>
        </w:rPr>
        <w:t xml:space="preserve"> to include</w:t>
      </w:r>
      <w:r w:rsidR="007F2D7D">
        <w:rPr>
          <w:rFonts w:eastAsia="Times New Roman" w:cs="Times New Roman"/>
        </w:rPr>
        <w:t xml:space="preserve"> “giving advice or counsel to persons </w:t>
      </w:r>
      <w:r w:rsidR="007F2D7D" w:rsidRPr="00C21279">
        <w:rPr>
          <w:rFonts w:eastAsia="Times New Roman" w:cs="Times New Roman"/>
        </w:rPr>
        <w:t>concerning or with respect to</w:t>
      </w:r>
      <w:r w:rsidR="007F2D7D" w:rsidRPr="001B75A9">
        <w:rPr>
          <w:rFonts w:eastAsia="Times New Roman" w:cs="Times New Roman"/>
        </w:rPr>
        <w:t xml:space="preserve"> </w:t>
      </w:r>
      <w:r w:rsidR="007F2D7D">
        <w:rPr>
          <w:rFonts w:eastAsia="Times New Roman" w:cs="Times New Roman"/>
        </w:rPr>
        <w:t>their</w:t>
      </w:r>
      <w:r w:rsidR="007F2D7D" w:rsidRPr="001B75A9">
        <w:rPr>
          <w:rFonts w:eastAsia="Times New Roman" w:cs="Times New Roman"/>
        </w:rPr>
        <w:t xml:space="preserve"> legal rights or responsibilities</w:t>
      </w:r>
      <w:r w:rsidR="007F2D7D">
        <w:rPr>
          <w:rFonts w:eastAsia="Times New Roman" w:cs="Times New Roman"/>
        </w:rPr>
        <w:t xml:space="preserve">, </w:t>
      </w:r>
      <w:r w:rsidR="007F2D7D" w:rsidRPr="001B75A9">
        <w:rPr>
          <w:rFonts w:eastAsia="Times New Roman" w:cs="Times New Roman"/>
        </w:rPr>
        <w:t xml:space="preserve">or with regard to </w:t>
      </w:r>
      <w:r w:rsidR="007F2D7D" w:rsidRPr="00C21279">
        <w:rPr>
          <w:rFonts w:eastAsia="Times New Roman" w:cs="Times New Roman"/>
        </w:rPr>
        <w:t>any matter involving the application of legal principles</w:t>
      </w:r>
      <w:r w:rsidR="007F2D7D" w:rsidRPr="001B75A9">
        <w:rPr>
          <w:rFonts w:eastAsia="Times New Roman" w:cs="Times New Roman"/>
        </w:rPr>
        <w:t xml:space="preserve"> to rights, duties, obligations or liabilities</w:t>
      </w:r>
      <w:r w:rsidR="007F2D7D">
        <w:rPr>
          <w:rFonts w:eastAsia="Times New Roman" w:cs="Times New Roman"/>
        </w:rPr>
        <w:t>.”</w:t>
      </w:r>
      <w:r w:rsidR="007F2D7D">
        <w:rPr>
          <w:rStyle w:val="FootnoteReference"/>
          <w:rFonts w:eastAsia="Times New Roman" w:cs="Times New Roman"/>
        </w:rPr>
        <w:footnoteReference w:id="17"/>
      </w:r>
      <w:r w:rsidR="007F2D7D">
        <w:rPr>
          <w:rFonts w:eastAsia="Times New Roman" w:cs="Times New Roman"/>
        </w:rPr>
        <w:t xml:space="preserve"> Criminally prohibiting any advice “concerning . . . legal rights or responsibilities” would deprive</w:t>
      </w:r>
      <w:r w:rsidR="007F2D7D" w:rsidRPr="004F1EB5">
        <w:rPr>
          <w:rFonts w:eastAsia="Times New Roman" w:cs="Times New Roman"/>
        </w:rPr>
        <w:t xml:space="preserve"> consumers of </w:t>
      </w:r>
      <w:r w:rsidR="00246F33">
        <w:rPr>
          <w:rFonts w:eastAsia="Times New Roman" w:cs="Times New Roman"/>
        </w:rPr>
        <w:t xml:space="preserve">a wide array of </w:t>
      </w:r>
      <w:r w:rsidR="007F2D7D" w:rsidRPr="004F1EB5">
        <w:rPr>
          <w:rFonts w:eastAsia="Times New Roman" w:cs="Times New Roman"/>
        </w:rPr>
        <w:t xml:space="preserve">valuable information, both legal and </w:t>
      </w:r>
      <w:r w:rsidR="00246F33">
        <w:rPr>
          <w:rFonts w:eastAsia="Times New Roman" w:cs="Times New Roman"/>
        </w:rPr>
        <w:t>non-legal</w:t>
      </w:r>
      <w:r w:rsidR="007F2D7D" w:rsidRPr="004F1EB5">
        <w:rPr>
          <w:rFonts w:eastAsia="Times New Roman" w:cs="Times New Roman"/>
        </w:rPr>
        <w:t xml:space="preserve">. Moreover, it could </w:t>
      </w:r>
      <w:r w:rsidR="007F2D7D">
        <w:rPr>
          <w:rFonts w:eastAsia="Times New Roman" w:cs="Times New Roman"/>
        </w:rPr>
        <w:t>potentially subject</w:t>
      </w:r>
      <w:r w:rsidR="007F2D7D" w:rsidRPr="004F1EB5">
        <w:rPr>
          <w:rFonts w:eastAsia="Times New Roman" w:cs="Times New Roman"/>
        </w:rPr>
        <w:t xml:space="preserve"> </w:t>
      </w:r>
      <w:r w:rsidR="007F2D7D">
        <w:rPr>
          <w:rFonts w:eastAsia="Times New Roman" w:cs="Times New Roman"/>
        </w:rPr>
        <w:t>thousands of ordinary law-abiding people to significant prison time simply for doing their jobs or trying to help a friend or family member in need.</w:t>
      </w:r>
    </w:p>
    <w:p w:rsidR="007F2D7D" w:rsidRDefault="007F2D7D" w:rsidP="007F2D7D">
      <w:pPr>
        <w:rPr>
          <w:rFonts w:cs="Times New Roman"/>
        </w:rPr>
      </w:pPr>
      <w:r>
        <w:rPr>
          <w:rFonts w:cs="Times New Roman"/>
        </w:rPr>
        <w:t>Many</w:t>
      </w:r>
      <w:r w:rsidRPr="00552E0A">
        <w:rPr>
          <w:rFonts w:cs="Times New Roman"/>
        </w:rPr>
        <w:t xml:space="preserve"> basic legal tasks that people commonly encounter can be performed by a friend or family member </w:t>
      </w:r>
      <w:r>
        <w:rPr>
          <w:rFonts w:cs="Times New Roman"/>
        </w:rPr>
        <w:t>who has familiarity or experience with the issue involved.</w:t>
      </w:r>
      <w:r w:rsidRPr="00552E0A">
        <w:rPr>
          <w:rFonts w:cs="Times New Roman"/>
        </w:rPr>
        <w:t xml:space="preserve"> This third party can</w:t>
      </w:r>
      <w:r>
        <w:rPr>
          <w:rFonts w:cs="Times New Roman"/>
        </w:rPr>
        <w:t xml:space="preserve"> provide invaluable assistance concerning a particular legal task without causing any harm to the individual.</w:t>
      </w:r>
      <w:r w:rsidRPr="00552E0A">
        <w:rPr>
          <w:rFonts w:cs="Times New Roman"/>
        </w:rPr>
        <w:t xml:space="preserve"> </w:t>
      </w:r>
      <w:r>
        <w:rPr>
          <w:rFonts w:cs="Times New Roman"/>
        </w:rPr>
        <w:t xml:space="preserve">If such assistance were criminally prohibited because it </w:t>
      </w:r>
      <w:r>
        <w:rPr>
          <w:rFonts w:eastAsia="Times New Roman" w:cs="Times New Roman"/>
        </w:rPr>
        <w:t xml:space="preserve">“concern[s] . . . legal rights or responsibilities,” </w:t>
      </w:r>
      <w:r w:rsidRPr="00552E0A">
        <w:rPr>
          <w:rFonts w:cs="Times New Roman"/>
        </w:rPr>
        <w:t xml:space="preserve">it would </w:t>
      </w:r>
      <w:r>
        <w:rPr>
          <w:rFonts w:cs="Times New Roman"/>
        </w:rPr>
        <w:t>effectively deny access to the legal system to a great number of</w:t>
      </w:r>
      <w:r w:rsidRPr="00552E0A">
        <w:rPr>
          <w:rFonts w:cs="Times New Roman"/>
        </w:rPr>
        <w:t xml:space="preserve"> low</w:t>
      </w:r>
      <w:r>
        <w:rPr>
          <w:rFonts w:cs="Times New Roman"/>
        </w:rPr>
        <w:t>- and medium-</w:t>
      </w:r>
      <w:r w:rsidRPr="00552E0A">
        <w:rPr>
          <w:rFonts w:cs="Times New Roman"/>
        </w:rPr>
        <w:t xml:space="preserve">income </w:t>
      </w:r>
      <w:r>
        <w:rPr>
          <w:rFonts w:cs="Times New Roman"/>
        </w:rPr>
        <w:t xml:space="preserve">Connecticuters. </w:t>
      </w:r>
      <w:r>
        <w:t xml:space="preserve">Retaining a lawyer to perform such tasks is simply not practically or economically feasible for most people. </w:t>
      </w:r>
      <w:r w:rsidRPr="00E529D5">
        <w:rPr>
          <w:rFonts w:cs="Times New Roman"/>
        </w:rPr>
        <w:t xml:space="preserve">The average take-home pay in </w:t>
      </w:r>
      <w:r>
        <w:rPr>
          <w:rFonts w:cs="Times New Roman"/>
        </w:rPr>
        <w:t>Connecticut</w:t>
      </w:r>
      <w:r w:rsidRPr="00E529D5">
        <w:rPr>
          <w:rFonts w:cs="Times New Roman"/>
        </w:rPr>
        <w:t xml:space="preserve"> is </w:t>
      </w:r>
      <w:r w:rsidRPr="007F2F18">
        <w:rPr>
          <w:rFonts w:cs="Times New Roman"/>
        </w:rPr>
        <w:t>$48,873.</w:t>
      </w:r>
      <w:r w:rsidRPr="007F2F18">
        <w:rPr>
          <w:rFonts w:cs="Times New Roman"/>
          <w:vertAlign w:val="superscript"/>
        </w:rPr>
        <w:footnoteReference w:id="18"/>
      </w:r>
      <w:r w:rsidRPr="00E529D5">
        <w:rPr>
          <w:rFonts w:cs="Times New Roman"/>
        </w:rPr>
        <w:t xml:space="preserve"> </w:t>
      </w:r>
      <w:r w:rsidRPr="000F0159">
        <w:rPr>
          <w:rFonts w:cs="Times New Roman"/>
        </w:rPr>
        <w:t>The average person must therefore work an entire week in order to pay for only three hours of a lawyer’s time, assuming an hourly billing rate of $300.</w:t>
      </w:r>
    </w:p>
    <w:p w:rsidR="007F2D7D" w:rsidRDefault="007F2D7D" w:rsidP="007F2D7D">
      <w:pPr>
        <w:rPr>
          <w:rFonts w:cs="Times New Roman"/>
        </w:rPr>
      </w:pPr>
      <w:r w:rsidRPr="007F2D7D">
        <w:rPr>
          <w:rFonts w:cs="Times New Roman"/>
        </w:rPr>
        <w:t xml:space="preserve">In addition to basic legal assistance, advice “concerning . . . legal rights or responsibilities” can encompass </w:t>
      </w:r>
      <w:r w:rsidRPr="007F2D7D">
        <w:rPr>
          <w:rFonts w:cs="Times New Roman"/>
          <w:i/>
        </w:rPr>
        <w:t>any</w:t>
      </w:r>
      <w:r w:rsidRPr="007F2D7D">
        <w:rPr>
          <w:rFonts w:cs="Times New Roman"/>
        </w:rPr>
        <w:t xml:space="preserve"> advice that includes a legal component or that bears on a legal issue. Accountants, financial planners, real estate agents, social workers, and even doctors could find themselves facing five years in prison if their professional advice happens to touch on “legal rights or responsibilities.” In short, anyone whose occupation involves giving advice or providing information of any sort is potentially implicated by this bill. Critically, the prohibition on advice is not limited to compensated services. Accordingly, </w:t>
      </w:r>
      <w:r w:rsidRPr="007F2D7D">
        <w:rPr>
          <w:rFonts w:cs="Times New Roman"/>
          <w:i/>
        </w:rPr>
        <w:t>anyone</w:t>
      </w:r>
      <w:r w:rsidR="00B52917">
        <w:rPr>
          <w:rFonts w:cs="Times New Roman"/>
        </w:rPr>
        <w:t xml:space="preserve"> who tries</w:t>
      </w:r>
      <w:r w:rsidRPr="007F2D7D">
        <w:rPr>
          <w:rFonts w:cs="Times New Roman"/>
        </w:rPr>
        <w:t xml:space="preserve"> to help a friend or family member with any kind of legal problem could be criminally prosecuted and sentenced</w:t>
      </w:r>
      <w:r w:rsidR="00B52917">
        <w:rPr>
          <w:rFonts w:cs="Times New Roman"/>
        </w:rPr>
        <w:t xml:space="preserve"> to</w:t>
      </w:r>
      <w:r w:rsidRPr="007F2D7D">
        <w:rPr>
          <w:rFonts w:cs="Times New Roman"/>
        </w:rPr>
        <w:t xml:space="preserve"> five years in prison.</w:t>
      </w:r>
    </w:p>
    <w:p w:rsidR="007F2D7D" w:rsidRDefault="007F2D7D" w:rsidP="007F2D7D">
      <w:r>
        <w:t>Proponents of this bill may contend that reasonable construction and prosecutorial discretion will protect the doctors, accountants, and family members from the literal language of the bill. However, this kind of overbroad criminal statute is affirmatively harmful in and of itself, even if not enforced to its fullest extent. The threat of five years in prison for potentially infringing advice cannot help but chill the offering of such advice. This chill would deprive consumers of a significant amount of essential assistance and valuable information.</w:t>
      </w:r>
    </w:p>
    <w:p w:rsidR="00C24B71" w:rsidRPr="00C24B71" w:rsidRDefault="00C24B71" w:rsidP="00D97B19">
      <w:pPr>
        <w:spacing w:after="0"/>
        <w:rPr>
          <w:rFonts w:ascii="Cambria" w:hAnsi="Cambria"/>
        </w:rPr>
      </w:pPr>
    </w:p>
    <w:p w:rsidR="00012C27" w:rsidRDefault="00012C27" w:rsidP="00012C27">
      <w:pPr>
        <w:spacing w:after="80"/>
        <w:rPr>
          <w:rFonts w:eastAsia="Times New Roman" w:cs="Times New Roman"/>
        </w:rPr>
      </w:pPr>
      <w:r>
        <w:rPr>
          <w:rFonts w:eastAsia="Times New Roman" w:cs="Times New Roman"/>
          <w:b/>
        </w:rPr>
        <w:t>The bill impose</w:t>
      </w:r>
      <w:r w:rsidR="003C6B28">
        <w:rPr>
          <w:rFonts w:eastAsia="Times New Roman" w:cs="Times New Roman"/>
          <w:b/>
        </w:rPr>
        <w:t>s</w:t>
      </w:r>
      <w:r>
        <w:rPr>
          <w:rFonts w:eastAsia="Times New Roman" w:cs="Times New Roman"/>
          <w:b/>
        </w:rPr>
        <w:t xml:space="preserve"> unjustified and disproportionate penalties.</w:t>
      </w:r>
    </w:p>
    <w:p w:rsidR="00012C27" w:rsidRPr="004A63B8" w:rsidRDefault="00012C27" w:rsidP="00012C27">
      <w:r>
        <w:t>Under the current statute, UPL is a class C misdemeanor,</w:t>
      </w:r>
      <w:r>
        <w:rPr>
          <w:rStyle w:val="FootnoteReference"/>
        </w:rPr>
        <w:footnoteReference w:id="19"/>
      </w:r>
      <w:r>
        <w:t xml:space="preserve"> punishable by up to three months imprisonment and a fine of up to five hundred dollars.</w:t>
      </w:r>
      <w:r>
        <w:rPr>
          <w:rStyle w:val="FootnoteReference"/>
        </w:rPr>
        <w:footnoteReference w:id="20"/>
      </w:r>
      <w:r>
        <w:t xml:space="preserve"> If enacted, the bill would make UPL a class D </w:t>
      </w:r>
      <w:r w:rsidRPr="00873416">
        <w:rPr>
          <w:i/>
        </w:rPr>
        <w:t>felony</w:t>
      </w:r>
      <w:r>
        <w:t>,</w:t>
      </w:r>
      <w:r>
        <w:rPr>
          <w:rStyle w:val="FootnoteReference"/>
        </w:rPr>
        <w:footnoteReference w:id="21"/>
      </w:r>
      <w:r>
        <w:t xml:space="preserve"> classifying it alongside such crimes as jury tampering</w:t>
      </w:r>
      <w:r>
        <w:rPr>
          <w:rStyle w:val="FootnoteReference"/>
        </w:rPr>
        <w:footnoteReference w:id="22"/>
      </w:r>
      <w:r>
        <w:t xml:space="preserve"> and third-degree burglary.</w:t>
      </w:r>
      <w:r>
        <w:rPr>
          <w:rStyle w:val="FootnoteReference"/>
        </w:rPr>
        <w:footnoteReference w:id="23"/>
      </w:r>
      <w:r>
        <w:t xml:space="preserve"> The bill would also drastically increase the punishment to up to </w:t>
      </w:r>
      <w:r w:rsidRPr="00740488">
        <w:rPr>
          <w:i/>
        </w:rPr>
        <w:t>five</w:t>
      </w:r>
      <w:r>
        <w:t xml:space="preserve"> </w:t>
      </w:r>
      <w:r w:rsidRPr="004A63B8">
        <w:rPr>
          <w:i/>
        </w:rPr>
        <w:t>years</w:t>
      </w:r>
      <w:r>
        <w:t xml:space="preserve"> imprisonment and a fine of up to five thousand dollars.</w:t>
      </w:r>
      <w:r>
        <w:rPr>
          <w:rStyle w:val="FootnoteReference"/>
        </w:rPr>
        <w:footnoteReference w:id="24"/>
      </w:r>
      <w:r>
        <w:t xml:space="preserve"> As originally raised, the bill would have made UPL a class A misdemeanor, punishable by up to one year imprisonment and a fine of up to two thousand dollars.</w:t>
      </w:r>
      <w:r>
        <w:rPr>
          <w:rStyle w:val="FootnoteReference"/>
        </w:rPr>
        <w:footnoteReference w:id="25"/>
      </w:r>
      <w:r>
        <w:t xml:space="preserve"> The bill was amended at the recommendation of the Division of Criminal Justice, which expressed its belief that “the unauthorized practice of law is so serious offense [sic] that a felony penalty and its ramifications are appropriate.”</w:t>
      </w:r>
      <w:r>
        <w:rPr>
          <w:rStyle w:val="FootnoteReference"/>
        </w:rPr>
        <w:footnoteReference w:id="26"/>
      </w:r>
      <w:r>
        <w:t xml:space="preserve"> Neither the Division nor anyone else, however, has presented any evidence that the problem of UPL in Connecticut is sufficiently pervasive, or has produced sufficient harm, as to merit felony classification. Absent such a showing, the imposition of so severe a penalty is wholly inappropriate. This is especially true in light of the bill’s extraordinarily broad definition of UPL.</w:t>
      </w:r>
    </w:p>
    <w:p w:rsidR="00012C27" w:rsidRPr="00C375F5" w:rsidRDefault="00012C27" w:rsidP="00012C27">
      <w:pPr>
        <w:rPr>
          <w:rFonts w:cs="Times New Roman"/>
        </w:rPr>
      </w:pPr>
      <w:r>
        <w:rPr>
          <w:rFonts w:cs="Times New Roman"/>
        </w:rPr>
        <w:t>Proponents may argue that stringent penalties are necessary to protect consumers from b</w:t>
      </w:r>
      <w:r w:rsidRPr="00EE0160">
        <w:rPr>
          <w:rFonts w:cs="Times New Roman"/>
        </w:rPr>
        <w:t>eing preyed upon by individuals</w:t>
      </w:r>
      <w:r>
        <w:rPr>
          <w:rFonts w:cs="Times New Roman"/>
        </w:rPr>
        <w:t xml:space="preserve"> falsely holding themselves out to be attorneys. Responsive Law certainly shares the concern that legal consumers can be </w:t>
      </w:r>
      <w:r w:rsidR="00AD1EB1">
        <w:rPr>
          <w:rFonts w:cs="Times New Roman"/>
        </w:rPr>
        <w:t xml:space="preserve">victims of fraud. Consumers in </w:t>
      </w:r>
      <w:r>
        <w:rPr>
          <w:rFonts w:cs="Times New Roman"/>
        </w:rPr>
        <w:t>Connecticut, however, are already protected by existing fraud statutes.</w:t>
      </w:r>
      <w:r>
        <w:rPr>
          <w:rStyle w:val="FootnoteReference"/>
          <w:rFonts w:cs="Times New Roman"/>
        </w:rPr>
        <w:footnoteReference w:id="27"/>
      </w:r>
      <w:r>
        <w:rPr>
          <w:rFonts w:cs="Times New Roman"/>
        </w:rPr>
        <w:t xml:space="preserve"> For example, if a non-attorney obtains more than two thousand dollars from a consumer by holding himself out </w:t>
      </w:r>
      <w:r w:rsidR="002D4668">
        <w:rPr>
          <w:rFonts w:cs="Times New Roman"/>
        </w:rPr>
        <w:t>as</w:t>
      </w:r>
      <w:r>
        <w:rPr>
          <w:rFonts w:cs="Times New Roman"/>
        </w:rPr>
        <w:t xml:space="preserve"> an attorney, he has committed the class D felony of third degree larceny.</w:t>
      </w:r>
      <w:r>
        <w:rPr>
          <w:rStyle w:val="FootnoteReference"/>
        </w:rPr>
        <w:footnoteReference w:id="28"/>
      </w:r>
      <w:r>
        <w:rPr>
          <w:rFonts w:cs="Times New Roman"/>
        </w:rPr>
        <w:t xml:space="preserve"> The protections afforded to legal consumers under this bill are therefore largely duplicative of existing criminal law; and any small additional protection is more than offset by the affirmative harm the bill’s broad language would impose on consumers.</w:t>
      </w:r>
    </w:p>
    <w:p w:rsidR="00012C27" w:rsidRDefault="00012C27" w:rsidP="00012C27">
      <w:pPr>
        <w:spacing w:after="0"/>
        <w:rPr>
          <w:rFonts w:cs="Times New Roman"/>
          <w:b/>
        </w:rPr>
      </w:pPr>
    </w:p>
    <w:p w:rsidR="00012C27" w:rsidRDefault="00012C27" w:rsidP="00012C27">
      <w:pPr>
        <w:spacing w:after="80"/>
        <w:rPr>
          <w:rFonts w:cs="Times New Roman"/>
        </w:rPr>
      </w:pPr>
      <w:r w:rsidRPr="000E1531">
        <w:rPr>
          <w:rFonts w:cs="Times New Roman"/>
          <w:b/>
        </w:rPr>
        <w:t xml:space="preserve">Requiring a showing of </w:t>
      </w:r>
      <w:r w:rsidR="00D17BA3">
        <w:rPr>
          <w:rFonts w:cs="Times New Roman"/>
          <w:b/>
        </w:rPr>
        <w:t xml:space="preserve">consumer </w:t>
      </w:r>
      <w:r w:rsidRPr="000E1531">
        <w:rPr>
          <w:rFonts w:cs="Times New Roman"/>
          <w:b/>
        </w:rPr>
        <w:t>harm could produce a legitimate consumer protection bill.</w:t>
      </w:r>
      <w:r>
        <w:rPr>
          <w:rFonts w:cs="Times New Roman"/>
        </w:rPr>
        <w:t xml:space="preserve"> </w:t>
      </w:r>
    </w:p>
    <w:p w:rsidR="00012C27" w:rsidRPr="001611F0" w:rsidRDefault="00012C27" w:rsidP="00012C27">
      <w:pPr>
        <w:rPr>
          <w:rFonts w:cs="Times New Roman"/>
        </w:rPr>
      </w:pPr>
      <w:r>
        <w:rPr>
          <w:rFonts w:cs="Times New Roman"/>
        </w:rPr>
        <w:t>Although Responsive Law opposes this bill, we recognize that, if properly amended, it could potentially provide some protection</w:t>
      </w:r>
      <w:r w:rsidR="002D4668">
        <w:rPr>
          <w:rFonts w:cs="Times New Roman"/>
        </w:rPr>
        <w:t xml:space="preserve"> for</w:t>
      </w:r>
      <w:r>
        <w:rPr>
          <w:rFonts w:cs="Times New Roman"/>
        </w:rPr>
        <w:t xml:space="preserve"> legal consumers. As presently drafted, the bill lacks any requirement of harm to consumers. If the consumer of the service does not object to and suffers no harm from the service, the provider of that service should not be prosecuted for UPL. Accordingly, Responsive Law suggests that, at a minimum, the bill be amended to include harm to a consumer as a required element of UPL.</w:t>
      </w:r>
    </w:p>
    <w:p w:rsidR="00C24B71" w:rsidRDefault="00C24B71" w:rsidP="001029BC">
      <w:pPr>
        <w:spacing w:after="0"/>
        <w:rPr>
          <w:rFonts w:ascii="Cambria" w:hAnsi="Cambria"/>
        </w:rPr>
      </w:pPr>
    </w:p>
    <w:p w:rsidR="00A257FC" w:rsidRDefault="00C24B71" w:rsidP="0054063C">
      <w:pPr>
        <w:spacing w:after="0"/>
        <w:rPr>
          <w:rFonts w:ascii="Cambria" w:hAnsi="Cambria"/>
        </w:rPr>
      </w:pPr>
      <w:r w:rsidRPr="00C24B71">
        <w:rPr>
          <w:rFonts w:ascii="Cambria" w:hAnsi="Cambria"/>
        </w:rPr>
        <w:t xml:space="preserve">In an economic climate in which four out of five people cannot afford a lawyer, additional barriers </w:t>
      </w:r>
      <w:r w:rsidR="005E7793">
        <w:rPr>
          <w:rFonts w:ascii="Cambria" w:hAnsi="Cambria"/>
        </w:rPr>
        <w:t xml:space="preserve">should not be placed </w:t>
      </w:r>
      <w:r w:rsidRPr="00C24B71">
        <w:rPr>
          <w:rFonts w:ascii="Cambria" w:hAnsi="Cambria"/>
        </w:rPr>
        <w:t>between people and the legal system that is intended to adjudicate their disputes.</w:t>
      </w:r>
      <w:r w:rsidR="005F426F">
        <w:rPr>
          <w:rFonts w:ascii="Cambria" w:hAnsi="Cambria"/>
        </w:rPr>
        <w:t xml:space="preserve"> </w:t>
      </w:r>
      <w:r w:rsidR="008173F4">
        <w:rPr>
          <w:rFonts w:ascii="Cambria" w:hAnsi="Cambria"/>
          <w:b/>
        </w:rPr>
        <w:t>O</w:t>
      </w:r>
      <w:r w:rsidRPr="00C24B71">
        <w:rPr>
          <w:rFonts w:ascii="Cambria" w:hAnsi="Cambria"/>
          <w:b/>
        </w:rPr>
        <w:t xml:space="preserve">n behalf of the users of the legal system, </w:t>
      </w:r>
      <w:r w:rsidR="008173F4">
        <w:rPr>
          <w:rFonts w:ascii="Cambria" w:hAnsi="Cambria"/>
          <w:b/>
        </w:rPr>
        <w:t>w</w:t>
      </w:r>
      <w:r w:rsidR="008173F4" w:rsidRPr="00C24B71">
        <w:rPr>
          <w:rFonts w:ascii="Cambria" w:hAnsi="Cambria"/>
          <w:b/>
        </w:rPr>
        <w:t xml:space="preserve">e urge </w:t>
      </w:r>
      <w:r w:rsidR="008173F4">
        <w:rPr>
          <w:rFonts w:ascii="Cambria" w:hAnsi="Cambria"/>
          <w:b/>
        </w:rPr>
        <w:t>the Committee</w:t>
      </w:r>
      <w:r w:rsidR="008173F4" w:rsidRPr="00C24B71">
        <w:rPr>
          <w:rFonts w:ascii="Cambria" w:hAnsi="Cambria"/>
          <w:b/>
        </w:rPr>
        <w:t xml:space="preserve"> </w:t>
      </w:r>
      <w:r w:rsidRPr="00C24B71">
        <w:rPr>
          <w:rFonts w:ascii="Cambria" w:hAnsi="Cambria"/>
          <w:b/>
        </w:rPr>
        <w:t xml:space="preserve">to </w:t>
      </w:r>
      <w:r w:rsidR="00C75EB9">
        <w:rPr>
          <w:rFonts w:ascii="Cambria" w:hAnsi="Cambria"/>
          <w:b/>
        </w:rPr>
        <w:t>oppose</w:t>
      </w:r>
      <w:r w:rsidRPr="00C24B71">
        <w:rPr>
          <w:rFonts w:ascii="Cambria" w:hAnsi="Cambria"/>
          <w:b/>
        </w:rPr>
        <w:t xml:space="preserve"> this legislation.</w:t>
      </w:r>
    </w:p>
    <w:p w:rsidR="00ED234A" w:rsidRDefault="00ED234A" w:rsidP="00A257FC">
      <w:pPr>
        <w:rPr>
          <w:rFonts w:ascii="Cambria" w:hAnsi="Cambria"/>
        </w:rPr>
      </w:pPr>
    </w:p>
    <w:sectPr w:rsidR="00ED234A" w:rsidSect="00EA2B61">
      <w:headerReference w:type="default" r:id="rId8"/>
      <w:footerReference w:type="default" r:id="rId9"/>
      <w:headerReference w:type="first" r:id="rId10"/>
      <w:footerReference w:type="first" r:id="rId11"/>
      <w:pgSz w:w="12240" w:h="15840" w:code="1"/>
      <w:pgMar w:top="1620" w:right="1800" w:bottom="1440" w:left="1800" w:header="630" w:footer="576"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857" w:rsidRDefault="00292857" w:rsidP="00065CBC">
      <w:r>
        <w:separator/>
      </w:r>
    </w:p>
  </w:endnote>
  <w:endnote w:type="continuationSeparator" w:id="0">
    <w:p w:rsidR="00292857" w:rsidRDefault="00292857" w:rsidP="00065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46" w:rsidRDefault="00AA11BD" w:rsidP="0063481A">
    <w:pPr>
      <w:pStyle w:val="Footer"/>
      <w:ind w:hanging="2880"/>
    </w:pPr>
    <w:r>
      <w:t xml:space="preserve">April </w:t>
    </w:r>
    <w:r w:rsidR="00E12C4F">
      <w:t>25,</w:t>
    </w:r>
    <w:r>
      <w:t xml:space="preserve"> 2013</w:t>
    </w:r>
    <w:r w:rsidR="00C95846">
      <w:tab/>
    </w:r>
    <w:r w:rsidR="00C95846">
      <w:tab/>
    </w:r>
    <w:sdt>
      <w:sdtPr>
        <w:id w:val="55038826"/>
        <w:docPartObj>
          <w:docPartGallery w:val="Page Numbers (Bottom of Page)"/>
          <w:docPartUnique/>
        </w:docPartObj>
      </w:sdtPr>
      <w:sdtContent>
        <w:r w:rsidR="00C95846">
          <w:tab/>
        </w:r>
        <w:fldSimple w:instr=" PAGE   \* MERGEFORMAT ">
          <w:r w:rsidR="00E12C4F">
            <w:rPr>
              <w:noProof/>
            </w:rPr>
            <w:t>4</w:t>
          </w:r>
        </w:fldSimple>
      </w:sdtContent>
    </w:sdt>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46" w:rsidRPr="0063481A" w:rsidRDefault="00C95846" w:rsidP="0063481A">
    <w:pPr>
      <w:pStyle w:val="Footer"/>
      <w:ind w:left="-720"/>
      <w:rPr>
        <w:sz w:val="18"/>
        <w:szCs w:val="18"/>
      </w:rPr>
    </w:pPr>
    <w:r w:rsidRPr="00250784">
      <w:rPr>
        <w:sz w:val="18"/>
        <w:szCs w:val="18"/>
      </w:rPr>
      <w:t>1380 Monroe St NW, #210</w:t>
    </w:r>
    <w:r w:rsidRPr="0063481A">
      <w:rPr>
        <w:sz w:val="18"/>
        <w:szCs w:val="18"/>
      </w:rPr>
      <w:br/>
      <w:t xml:space="preserve">Washington, D.C.  </w:t>
    </w:r>
    <w:r w:rsidRPr="00250784">
      <w:rPr>
        <w:sz w:val="18"/>
        <w:szCs w:val="18"/>
      </w:rPr>
      <w:t>20010</w:t>
    </w:r>
    <w:r w:rsidRPr="0063481A">
      <w:rPr>
        <w:sz w:val="18"/>
        <w:szCs w:val="18"/>
      </w:rPr>
      <w:br/>
      <w:t>tom@responsivelaw.org</w:t>
    </w:r>
    <w:r w:rsidRPr="0063481A">
      <w:rPr>
        <w:sz w:val="18"/>
        <w:szCs w:val="18"/>
      </w:rPr>
      <w:br/>
      <w:t>(202) 649-0399</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857" w:rsidRDefault="00292857" w:rsidP="00065CBC">
      <w:r>
        <w:separator/>
      </w:r>
    </w:p>
  </w:footnote>
  <w:footnote w:type="continuationSeparator" w:id="0">
    <w:p w:rsidR="00292857" w:rsidRDefault="00292857" w:rsidP="00065CBC">
      <w:r>
        <w:continuationSeparator/>
      </w:r>
    </w:p>
  </w:footnote>
  <w:footnote w:id="1">
    <w:p w:rsidR="00F9406C" w:rsidRDefault="00F9406C" w:rsidP="00F9406C">
      <w:pPr>
        <w:pStyle w:val="FootnoteText"/>
      </w:pPr>
      <w:r>
        <w:rPr>
          <w:rStyle w:val="FootnoteReference"/>
        </w:rPr>
        <w:footnoteRef/>
      </w:r>
      <w:r>
        <w:t xml:space="preserve"> </w:t>
      </w:r>
      <w:r w:rsidRPr="00137DD2">
        <w:rPr>
          <w:rFonts w:eastAsia="Times New Roman" w:cs="Times New Roman"/>
        </w:rPr>
        <w:t>Conn</w:t>
      </w:r>
      <w:r>
        <w:rPr>
          <w:rFonts w:eastAsia="Times New Roman" w:cs="Times New Roman"/>
        </w:rPr>
        <w:t xml:space="preserve">. Gen. Stat. § 51-88(a). </w:t>
      </w:r>
    </w:p>
  </w:footnote>
  <w:footnote w:id="2">
    <w:p w:rsidR="00F9406C" w:rsidRDefault="00F9406C" w:rsidP="00F9406C">
      <w:pPr>
        <w:pStyle w:val="FootnoteText"/>
      </w:pPr>
      <w:r>
        <w:rPr>
          <w:rStyle w:val="FootnoteReference"/>
        </w:rPr>
        <w:footnoteRef/>
      </w:r>
      <w:r>
        <w:t xml:space="preserve"> Aside from minor technical corrections, the bill’s </w:t>
      </w:r>
      <w:r w:rsidR="0087276E">
        <w:t>language is identical to that of</w:t>
      </w:r>
      <w:r>
        <w:t xml:space="preserve"> current section</w:t>
      </w:r>
      <w:r w:rsidRPr="003D3B1E">
        <w:t xml:space="preserve"> 51-88(a</w:t>
      </w:r>
      <w:r>
        <w:t>).</w:t>
      </w:r>
    </w:p>
  </w:footnote>
  <w:footnote w:id="3">
    <w:p w:rsidR="00F9406C" w:rsidRDefault="00F9406C" w:rsidP="00F9406C">
      <w:pPr>
        <w:pStyle w:val="FootnoteText"/>
      </w:pPr>
      <w:r>
        <w:rPr>
          <w:rStyle w:val="FootnoteReference"/>
        </w:rPr>
        <w:footnoteRef/>
      </w:r>
      <w:r>
        <w:t xml:space="preserve"> Emphasis added.</w:t>
      </w:r>
    </w:p>
  </w:footnote>
  <w:footnote w:id="4">
    <w:p w:rsidR="00AC1B9E" w:rsidRDefault="00AC1B9E" w:rsidP="00AC1B9E">
      <w:pPr>
        <w:pStyle w:val="FootnoteText"/>
      </w:pPr>
      <w:r>
        <w:rPr>
          <w:rStyle w:val="FootnoteReference"/>
        </w:rPr>
        <w:footnoteRef/>
      </w:r>
      <w:r>
        <w:t xml:space="preserve"> </w:t>
      </w:r>
      <w:r w:rsidRPr="009E42B7">
        <w:t xml:space="preserve">Conn. Super. Ct. R. § 2-44A(a).  </w:t>
      </w:r>
    </w:p>
  </w:footnote>
  <w:footnote w:id="5">
    <w:p w:rsidR="00AC1B9E" w:rsidRDefault="00AC1B9E" w:rsidP="00AC1B9E">
      <w:pPr>
        <w:pStyle w:val="FootnoteText"/>
      </w:pPr>
      <w:r>
        <w:rPr>
          <w:rStyle w:val="FootnoteReference"/>
        </w:rPr>
        <w:footnoteRef/>
      </w:r>
      <w:r>
        <w:t xml:space="preserve"> </w:t>
      </w:r>
      <w:r w:rsidRPr="004F7818">
        <w:rPr>
          <w:i/>
        </w:rPr>
        <w:t>Id.</w:t>
      </w:r>
      <w:r>
        <w:t xml:space="preserve"> at § 2-44A(a)(6) (emphasis added).</w:t>
      </w:r>
    </w:p>
  </w:footnote>
  <w:footnote w:id="6">
    <w:p w:rsidR="00AC1B9E" w:rsidRDefault="00AC1B9E" w:rsidP="00AC1B9E">
      <w:pPr>
        <w:pStyle w:val="FootnoteText"/>
      </w:pPr>
      <w:r>
        <w:rPr>
          <w:rStyle w:val="FootnoteReference"/>
        </w:rPr>
        <w:footnoteRef/>
      </w:r>
      <w:r>
        <w:t xml:space="preserve"> </w:t>
      </w:r>
      <w:r w:rsidRPr="00137DD2">
        <w:rPr>
          <w:rFonts w:eastAsia="Times New Roman" w:cs="Times New Roman"/>
        </w:rPr>
        <w:t>Conn</w:t>
      </w:r>
      <w:r>
        <w:rPr>
          <w:rFonts w:eastAsia="Times New Roman" w:cs="Times New Roman"/>
        </w:rPr>
        <w:t xml:space="preserve">. Gen. Stat. </w:t>
      </w:r>
      <w:r>
        <w:t xml:space="preserve">§ 51-14(a); </w:t>
      </w:r>
      <w:r w:rsidRPr="008B4EB0">
        <w:rPr>
          <w:i/>
        </w:rPr>
        <w:t>see</w:t>
      </w:r>
      <w:r>
        <w:t xml:space="preserve"> </w:t>
      </w:r>
      <w:r w:rsidRPr="008B4EB0">
        <w:rPr>
          <w:i/>
        </w:rPr>
        <w:t>also</w:t>
      </w:r>
      <w:r>
        <w:t xml:space="preserve"> Conn. Rules of Prof'l Conduct R 5.5 (“The practice of law in this jurisdiction is defined in Practice Book Section 2-44A.”)</w:t>
      </w:r>
    </w:p>
  </w:footnote>
  <w:footnote w:id="7">
    <w:p w:rsidR="00AC1B9E" w:rsidRDefault="00AC1B9E" w:rsidP="00AC1B9E">
      <w:pPr>
        <w:pStyle w:val="FootnoteText"/>
      </w:pPr>
      <w:r>
        <w:rPr>
          <w:rStyle w:val="FootnoteReference"/>
        </w:rPr>
        <w:footnoteRef/>
      </w:r>
      <w:r>
        <w:t xml:space="preserve"> </w:t>
      </w:r>
      <w:r w:rsidRPr="00137DD2">
        <w:rPr>
          <w:rFonts w:eastAsia="Times New Roman" w:cs="Times New Roman"/>
        </w:rPr>
        <w:t>Conn</w:t>
      </w:r>
      <w:r>
        <w:rPr>
          <w:rFonts w:eastAsia="Times New Roman" w:cs="Times New Roman"/>
        </w:rPr>
        <w:t xml:space="preserve">. Gen. Stat. </w:t>
      </w:r>
      <w:r>
        <w:t>§ 51-88(c).</w:t>
      </w:r>
    </w:p>
  </w:footnote>
  <w:footnote w:id="8">
    <w:p w:rsidR="00AC1B9E" w:rsidRDefault="00AC1B9E" w:rsidP="00AC1B9E">
      <w:pPr>
        <w:pStyle w:val="FootnoteText"/>
      </w:pPr>
      <w:r>
        <w:rPr>
          <w:rStyle w:val="FootnoteReference"/>
        </w:rPr>
        <w:footnoteRef/>
      </w:r>
      <w:r>
        <w:t xml:space="preserve"> </w:t>
      </w:r>
      <w:r w:rsidRPr="00EA1692">
        <w:rPr>
          <w:i/>
        </w:rPr>
        <w:t>See, e.g.</w:t>
      </w:r>
      <w:r>
        <w:t xml:space="preserve">, </w:t>
      </w:r>
      <w:r w:rsidRPr="001B75A9">
        <w:rPr>
          <w:rFonts w:eastAsia="Times New Roman" w:cs="Times New Roman"/>
          <w:i/>
          <w:szCs w:val="24"/>
        </w:rPr>
        <w:t>Statewide Grievance Comm. v. Patton</w:t>
      </w:r>
      <w:r w:rsidRPr="001B75A9">
        <w:rPr>
          <w:rFonts w:eastAsia="Times New Roman" w:cs="Times New Roman"/>
          <w:szCs w:val="24"/>
        </w:rPr>
        <w:t>, 239 Conn</w:t>
      </w:r>
      <w:r>
        <w:rPr>
          <w:rFonts w:eastAsia="Times New Roman" w:cs="Times New Roman"/>
          <w:szCs w:val="24"/>
        </w:rPr>
        <w:t xml:space="preserve">. 251, 683 A.2d 1359 </w:t>
      </w:r>
      <w:r w:rsidRPr="001B75A9">
        <w:rPr>
          <w:rFonts w:eastAsia="Times New Roman" w:cs="Times New Roman"/>
          <w:szCs w:val="24"/>
        </w:rPr>
        <w:t>(1996)</w:t>
      </w:r>
      <w:r>
        <w:rPr>
          <w:rFonts w:eastAsia="Times New Roman" w:cs="Times New Roman"/>
          <w:szCs w:val="24"/>
        </w:rPr>
        <w:t xml:space="preserve">; </w:t>
      </w:r>
      <w:r w:rsidRPr="007407AC">
        <w:rPr>
          <w:rFonts w:eastAsia="Times New Roman" w:cs="Times New Roman"/>
          <w:i/>
        </w:rPr>
        <w:t xml:space="preserve">State </w:t>
      </w:r>
      <w:r>
        <w:rPr>
          <w:rFonts w:eastAsia="Times New Roman" w:cs="Times New Roman"/>
          <w:i/>
        </w:rPr>
        <w:t xml:space="preserve">Bar Ass'n of Conn. v. Conn. </w:t>
      </w:r>
      <w:r w:rsidRPr="007407AC">
        <w:rPr>
          <w:rFonts w:eastAsia="Times New Roman" w:cs="Times New Roman"/>
          <w:i/>
        </w:rPr>
        <w:t>Bank &amp; Trust Co.</w:t>
      </w:r>
      <w:r w:rsidRPr="007407AC">
        <w:rPr>
          <w:rFonts w:eastAsia="Times New Roman" w:cs="Times New Roman"/>
        </w:rPr>
        <w:t>, 145 Conn. 222</w:t>
      </w:r>
      <w:r>
        <w:rPr>
          <w:rFonts w:eastAsia="Times New Roman" w:cs="Times New Roman"/>
        </w:rPr>
        <w:t xml:space="preserve">, </w:t>
      </w:r>
      <w:r w:rsidRPr="007407AC">
        <w:rPr>
          <w:rFonts w:eastAsia="Times New Roman" w:cs="Times New Roman"/>
        </w:rPr>
        <w:t>140 A.2d 863 (1958)</w:t>
      </w:r>
      <w:r>
        <w:rPr>
          <w:rFonts w:eastAsia="Times New Roman" w:cs="Times New Roman"/>
        </w:rPr>
        <w:t>;</w:t>
      </w:r>
      <w:r>
        <w:t xml:space="preserve"> </w:t>
      </w:r>
      <w:r w:rsidRPr="00812AF5">
        <w:rPr>
          <w:i/>
        </w:rPr>
        <w:t>Statewide Grievance Comm. v. Irizarry</w:t>
      </w:r>
      <w:r w:rsidRPr="00812AF5">
        <w:t xml:space="preserve">, CV030194210, 2003 WL 23025436 </w:t>
      </w:r>
      <w:r>
        <w:t xml:space="preserve">(Conn. Super. Ct. Dec. 8, 2003); </w:t>
      </w:r>
      <w:r w:rsidRPr="00812AF5">
        <w:rPr>
          <w:i/>
        </w:rPr>
        <w:t>Statewide Grievance Comm. v. Zadora</w:t>
      </w:r>
      <w:r w:rsidRPr="00812AF5">
        <w:t>, CR 980058137, 1998 WL 550757 (Conn. Super. Ct. Aug. 20, 1998)</w:t>
      </w:r>
      <w:r>
        <w:t>.</w:t>
      </w:r>
    </w:p>
  </w:footnote>
  <w:footnote w:id="9">
    <w:p w:rsidR="00AC1B9E" w:rsidRDefault="00AC1B9E" w:rsidP="00AC1B9E">
      <w:pPr>
        <w:pStyle w:val="FootnoteText"/>
      </w:pPr>
      <w:r>
        <w:rPr>
          <w:rStyle w:val="FootnoteReference"/>
        </w:rPr>
        <w:footnoteRef/>
      </w:r>
      <w:r>
        <w:t xml:space="preserve"> </w:t>
      </w:r>
      <w:r w:rsidRPr="00C503A2">
        <w:rPr>
          <w:i/>
        </w:rPr>
        <w:t>Patton</w:t>
      </w:r>
      <w:r w:rsidRPr="00C503A2">
        <w:t xml:space="preserve">, 239 Conn. </w:t>
      </w:r>
      <w:r>
        <w:t>at</w:t>
      </w:r>
      <w:r w:rsidRPr="00C503A2">
        <w:t xml:space="preserve"> 254, 683 A.2d </w:t>
      </w:r>
      <w:r w:rsidR="007F2D7D">
        <w:t xml:space="preserve">at 1361 </w:t>
      </w:r>
      <w:r w:rsidRPr="00C503A2">
        <w:t xml:space="preserve">(quoting </w:t>
      </w:r>
      <w:r w:rsidRPr="00C503A2">
        <w:rPr>
          <w:i/>
          <w:iCs/>
        </w:rPr>
        <w:t>Grievance Committee v. Payne,</w:t>
      </w:r>
      <w:r w:rsidRPr="00C503A2">
        <w:t xml:space="preserve"> 128 Conn. 325, 329, 22 A.2d 623, 625 (1941)).</w:t>
      </w:r>
    </w:p>
  </w:footnote>
  <w:footnote w:id="10">
    <w:p w:rsidR="00AC1B9E" w:rsidRDefault="00AC1B9E" w:rsidP="00AC1B9E">
      <w:pPr>
        <w:pStyle w:val="FootnoteText"/>
      </w:pPr>
      <w:r>
        <w:rPr>
          <w:rStyle w:val="FootnoteReference"/>
        </w:rPr>
        <w:footnoteRef/>
      </w:r>
      <w:r>
        <w:t xml:space="preserve"> </w:t>
      </w:r>
      <w:r w:rsidRPr="00A020AB">
        <w:rPr>
          <w:i/>
        </w:rPr>
        <w:t>Id.</w:t>
      </w:r>
      <w:r>
        <w:t xml:space="preserve"> (emphasis added).</w:t>
      </w:r>
    </w:p>
  </w:footnote>
  <w:footnote w:id="11">
    <w:p w:rsidR="002D3687" w:rsidRPr="002D3687" w:rsidRDefault="003835D8" w:rsidP="002D3687">
      <w:pPr>
        <w:pStyle w:val="FootnoteText"/>
      </w:pPr>
      <w:r>
        <w:rPr>
          <w:rStyle w:val="FootnoteReference"/>
        </w:rPr>
        <w:footnoteRef/>
      </w:r>
      <w:r>
        <w:t xml:space="preserve"> </w:t>
      </w:r>
      <w:r w:rsidR="002D3687" w:rsidRPr="002D3687">
        <w:rPr>
          <w:i/>
        </w:rPr>
        <w:t>Id.</w:t>
      </w:r>
      <w:r w:rsidR="002D3687">
        <w:t xml:space="preserve">, </w:t>
      </w:r>
      <w:r w:rsidR="002D3687" w:rsidRPr="002D3687">
        <w:t xml:space="preserve">239 Conn. at 255, 683 A.2d at1361 (recognizing the standard for “an activity on the ‘outerboundaries' of the ‘practice of law’ might be impermissibly vague.” (quoting </w:t>
      </w:r>
      <w:r w:rsidR="002D3687" w:rsidRPr="002D3687">
        <w:rPr>
          <w:i/>
          <w:iCs/>
        </w:rPr>
        <w:t>Monroe v. Horwitch,</w:t>
      </w:r>
      <w:r w:rsidR="002D3687" w:rsidRPr="002D3687">
        <w:t xml:space="preserve"> 820 F.Supp. 682, 686 (D.Conn.1993), </w:t>
      </w:r>
      <w:r w:rsidR="002D3687" w:rsidRPr="002D3687">
        <w:rPr>
          <w:i/>
        </w:rPr>
        <w:t>aff'd</w:t>
      </w:r>
      <w:r w:rsidR="002D3687" w:rsidRPr="002D3687">
        <w:t>, 19 F.3d 9 (2d Cir.1994)) (alteration omitted)).</w:t>
      </w:r>
    </w:p>
    <w:p w:rsidR="003835D8" w:rsidRDefault="003835D8">
      <w:pPr>
        <w:pStyle w:val="FootnoteText"/>
      </w:pPr>
    </w:p>
  </w:footnote>
  <w:footnote w:id="12">
    <w:p w:rsidR="00AC1B9E" w:rsidRDefault="00AC1B9E" w:rsidP="00AC1B9E">
      <w:pPr>
        <w:pStyle w:val="FootnoteText"/>
      </w:pPr>
      <w:r>
        <w:rPr>
          <w:rStyle w:val="FootnoteReference"/>
        </w:rPr>
        <w:footnoteRef/>
      </w:r>
      <w:r>
        <w:t xml:space="preserve"> </w:t>
      </w:r>
      <w:r w:rsidR="00677C2B" w:rsidRPr="009E42B7">
        <w:t xml:space="preserve">Conn. Super. Ct. R. </w:t>
      </w:r>
      <w:r>
        <w:t>§ 2-44A(b)(3), (6), (10).</w:t>
      </w:r>
    </w:p>
  </w:footnote>
  <w:footnote w:id="13">
    <w:p w:rsidR="00AC1B9E" w:rsidRDefault="00AC1B9E" w:rsidP="00AC1B9E">
      <w:pPr>
        <w:pStyle w:val="FootnoteText"/>
      </w:pPr>
      <w:r>
        <w:rPr>
          <w:rStyle w:val="FootnoteReference"/>
        </w:rPr>
        <w:footnoteRef/>
      </w:r>
      <w:r>
        <w:t xml:space="preserve"> </w:t>
      </w:r>
      <w:r w:rsidRPr="004F7818">
        <w:rPr>
          <w:i/>
        </w:rPr>
        <w:t>Id.</w:t>
      </w:r>
      <w:r>
        <w:t xml:space="preserve"> at § 2-44A(b)(2), (4), (8).</w:t>
      </w:r>
    </w:p>
  </w:footnote>
  <w:footnote w:id="14">
    <w:p w:rsidR="00AC1B9E" w:rsidRDefault="00AC1B9E" w:rsidP="00AC1B9E">
      <w:pPr>
        <w:pStyle w:val="FootnoteText"/>
      </w:pPr>
      <w:r>
        <w:rPr>
          <w:rStyle w:val="FootnoteReference"/>
        </w:rPr>
        <w:footnoteRef/>
      </w:r>
      <w:r>
        <w:t xml:space="preserve"> </w:t>
      </w:r>
      <w:r w:rsidRPr="004F7818">
        <w:rPr>
          <w:i/>
        </w:rPr>
        <w:t>Id.</w:t>
      </w:r>
      <w:r>
        <w:t xml:space="preserve"> at § 2-44A(d).</w:t>
      </w:r>
    </w:p>
  </w:footnote>
  <w:footnote w:id="15">
    <w:p w:rsidR="00AC1B9E" w:rsidRDefault="00AC1B9E" w:rsidP="00AC1B9E">
      <w:pPr>
        <w:pStyle w:val="FootnoteText"/>
      </w:pPr>
      <w:r>
        <w:rPr>
          <w:rStyle w:val="FootnoteReference"/>
        </w:rPr>
        <w:footnoteRef/>
      </w:r>
      <w:r>
        <w:t xml:space="preserve"> </w:t>
      </w:r>
      <w:r w:rsidRPr="004F7818">
        <w:rPr>
          <w:i/>
        </w:rPr>
        <w:t>Id.</w:t>
      </w:r>
      <w:r>
        <w:t xml:space="preserve"> at § 2-44A(b)(11).</w:t>
      </w:r>
    </w:p>
  </w:footnote>
  <w:footnote w:id="16">
    <w:p w:rsidR="007853DC" w:rsidRDefault="007853DC" w:rsidP="007853DC">
      <w:pPr>
        <w:pStyle w:val="FootnoteText"/>
      </w:pPr>
      <w:r>
        <w:rPr>
          <w:rStyle w:val="FootnoteReference"/>
        </w:rPr>
        <w:footnoteRef/>
      </w:r>
      <w:r>
        <w:t xml:space="preserve"> </w:t>
      </w:r>
      <w:r w:rsidRPr="007A1D04">
        <w:rPr>
          <w:i/>
        </w:rPr>
        <w:t>See, e.g.</w:t>
      </w:r>
      <w:r>
        <w:t xml:space="preserve">, </w:t>
      </w:r>
      <w:r w:rsidRPr="007A1D04">
        <w:rPr>
          <w:i/>
        </w:rPr>
        <w:t>State Bar Ass'n of Conn. v. Conn. Bank &amp; Trust Co.</w:t>
      </w:r>
      <w:r w:rsidRPr="007A1D04">
        <w:t>,</w:t>
      </w:r>
      <w:r>
        <w:t xml:space="preserve"> </w:t>
      </w:r>
      <w:r w:rsidRPr="007A1D04">
        <w:t>145 Conn. 222, 236, 140 A.2d 863, 871 (1958)</w:t>
      </w:r>
      <w:r>
        <w:t xml:space="preserve"> (differentiating between legal determinations concerning the administration of trust accounts that were “internal” or “external” to the bank).</w:t>
      </w:r>
    </w:p>
  </w:footnote>
  <w:footnote w:id="17">
    <w:p w:rsidR="007F2D7D" w:rsidRDefault="007F2D7D" w:rsidP="007F2D7D">
      <w:pPr>
        <w:pStyle w:val="FootnoteText"/>
      </w:pPr>
      <w:r>
        <w:rPr>
          <w:rStyle w:val="FootnoteReference"/>
        </w:rPr>
        <w:footnoteRef/>
      </w:r>
      <w:r>
        <w:t xml:space="preserve"> </w:t>
      </w:r>
      <w:r w:rsidR="00677C2B" w:rsidRPr="009E42B7">
        <w:t xml:space="preserve">Conn. Super. Ct. R. </w:t>
      </w:r>
      <w:bookmarkStart w:id="0" w:name="_GoBack"/>
      <w:bookmarkEnd w:id="0"/>
      <w:r>
        <w:t>§ 2-44A(a)(2).</w:t>
      </w:r>
    </w:p>
  </w:footnote>
  <w:footnote w:id="18">
    <w:p w:rsidR="007F2D7D" w:rsidRDefault="007F2D7D" w:rsidP="007F2D7D">
      <w:pPr>
        <w:pStyle w:val="FootnoteText"/>
      </w:pPr>
      <w:r>
        <w:rPr>
          <w:rStyle w:val="FootnoteReference"/>
        </w:rPr>
        <w:footnoteRef/>
      </w:r>
      <w:r>
        <w:t xml:space="preserve"> </w:t>
      </w:r>
      <w:r w:rsidRPr="00354099">
        <w:t>U.S</w:t>
      </w:r>
      <w:r>
        <w:t>. Bureau of Economic Analysis, “</w:t>
      </w:r>
      <w:r w:rsidRPr="00354099">
        <w:t>Table SA51-53, Dispo</w:t>
      </w:r>
      <w:r>
        <w:t xml:space="preserve">sable personal income summary,” </w:t>
      </w:r>
      <w:r w:rsidRPr="00354099">
        <w:t>http://www.bea.gov/iTable/iTable.cfm?reqid=70&amp;isuri</w:t>
      </w:r>
      <w:r>
        <w:t>=1&amp;acrdn=4, accessed April 17</w:t>
      </w:r>
      <w:r w:rsidRPr="00354099">
        <w:t>, 2013.</w:t>
      </w:r>
    </w:p>
  </w:footnote>
  <w:footnote w:id="19">
    <w:p w:rsidR="00012C27" w:rsidRDefault="00012C27" w:rsidP="00012C27">
      <w:pPr>
        <w:pStyle w:val="FootnoteText"/>
      </w:pPr>
      <w:r>
        <w:rPr>
          <w:rStyle w:val="FootnoteReference"/>
        </w:rPr>
        <w:footnoteRef/>
      </w:r>
      <w:r>
        <w:t xml:space="preserve"> </w:t>
      </w:r>
      <w:r w:rsidRPr="00137DD2">
        <w:rPr>
          <w:rFonts w:eastAsia="Times New Roman" w:cs="Times New Roman"/>
        </w:rPr>
        <w:t>Conn</w:t>
      </w:r>
      <w:r>
        <w:rPr>
          <w:rFonts w:eastAsia="Times New Roman" w:cs="Times New Roman"/>
        </w:rPr>
        <w:t xml:space="preserve">. Gen. Stat. § 51-88(b).  </w:t>
      </w:r>
    </w:p>
  </w:footnote>
  <w:footnote w:id="20">
    <w:p w:rsidR="00012C27" w:rsidRDefault="00012C27" w:rsidP="00012C27">
      <w:pPr>
        <w:pStyle w:val="FootnoteText"/>
      </w:pPr>
      <w:r>
        <w:rPr>
          <w:rStyle w:val="FootnoteReference"/>
        </w:rPr>
        <w:footnoteRef/>
      </w:r>
      <w:r>
        <w:t xml:space="preserve"> </w:t>
      </w:r>
      <w:r w:rsidRPr="001F70BF">
        <w:rPr>
          <w:i/>
        </w:rPr>
        <w:t>Id.</w:t>
      </w:r>
      <w:r>
        <w:t xml:space="preserve"> at </w:t>
      </w:r>
      <w:r>
        <w:rPr>
          <w:rFonts w:eastAsia="Times New Roman" w:cs="Times New Roman"/>
          <w:szCs w:val="24"/>
        </w:rPr>
        <w:t>§§ 53a-36, -42.</w:t>
      </w:r>
    </w:p>
  </w:footnote>
  <w:footnote w:id="21">
    <w:p w:rsidR="00012C27" w:rsidRDefault="00012C27" w:rsidP="00012C27">
      <w:pPr>
        <w:pStyle w:val="FootnoteText"/>
      </w:pPr>
      <w:r>
        <w:rPr>
          <w:rStyle w:val="FootnoteReference"/>
        </w:rPr>
        <w:footnoteRef/>
      </w:r>
      <w:r>
        <w:t xml:space="preserve"> </w:t>
      </w:r>
      <w:r w:rsidRPr="001F70BF">
        <w:rPr>
          <w:i/>
        </w:rPr>
        <w:t>Id.</w:t>
      </w:r>
      <w:r>
        <w:t xml:space="preserve"> at </w:t>
      </w:r>
      <w:r>
        <w:rPr>
          <w:rFonts w:eastAsia="Times New Roman" w:cs="Times New Roman"/>
          <w:szCs w:val="24"/>
        </w:rPr>
        <w:t>§ 53a-35a(8).</w:t>
      </w:r>
    </w:p>
  </w:footnote>
  <w:footnote w:id="22">
    <w:p w:rsidR="00012C27" w:rsidRDefault="00012C27" w:rsidP="00012C27">
      <w:pPr>
        <w:pStyle w:val="FootnoteText"/>
      </w:pPr>
      <w:r>
        <w:rPr>
          <w:rStyle w:val="FootnoteReference"/>
        </w:rPr>
        <w:footnoteRef/>
      </w:r>
      <w:r>
        <w:t xml:space="preserve"> </w:t>
      </w:r>
      <w:r w:rsidRPr="00883B35">
        <w:rPr>
          <w:i/>
        </w:rPr>
        <w:t>Id.</w:t>
      </w:r>
      <w:r>
        <w:t xml:space="preserve"> at § 53a-154.</w:t>
      </w:r>
    </w:p>
  </w:footnote>
  <w:footnote w:id="23">
    <w:p w:rsidR="00012C27" w:rsidRDefault="00012C27" w:rsidP="00012C27">
      <w:pPr>
        <w:pStyle w:val="FootnoteText"/>
      </w:pPr>
      <w:r>
        <w:rPr>
          <w:rStyle w:val="FootnoteReference"/>
        </w:rPr>
        <w:footnoteRef/>
      </w:r>
      <w:r>
        <w:t xml:space="preserve"> </w:t>
      </w:r>
      <w:r w:rsidRPr="007D7634">
        <w:rPr>
          <w:i/>
        </w:rPr>
        <w:t>Id.</w:t>
      </w:r>
      <w:r>
        <w:t xml:space="preserve"> at </w:t>
      </w:r>
      <w:r>
        <w:rPr>
          <w:rFonts w:eastAsia="Times New Roman" w:cs="Times New Roman"/>
          <w:szCs w:val="24"/>
        </w:rPr>
        <w:t>§ 53a-103.</w:t>
      </w:r>
    </w:p>
  </w:footnote>
  <w:footnote w:id="24">
    <w:p w:rsidR="00012C27" w:rsidRDefault="00012C27" w:rsidP="00012C27">
      <w:pPr>
        <w:pStyle w:val="FootnoteText"/>
      </w:pPr>
      <w:r>
        <w:rPr>
          <w:rStyle w:val="FootnoteReference"/>
        </w:rPr>
        <w:footnoteRef/>
      </w:r>
      <w:r>
        <w:t xml:space="preserve"> </w:t>
      </w:r>
      <w:r w:rsidRPr="001F70BF">
        <w:rPr>
          <w:i/>
        </w:rPr>
        <w:t>Id.</w:t>
      </w:r>
      <w:r>
        <w:t xml:space="preserve"> at </w:t>
      </w:r>
      <w:r>
        <w:rPr>
          <w:rFonts w:eastAsia="Times New Roman" w:cs="Times New Roman"/>
          <w:szCs w:val="24"/>
        </w:rPr>
        <w:t>§ 53a-41(4).</w:t>
      </w:r>
    </w:p>
  </w:footnote>
  <w:footnote w:id="25">
    <w:p w:rsidR="00012C27" w:rsidRDefault="00012C27" w:rsidP="00012C27">
      <w:pPr>
        <w:pStyle w:val="FootnoteText"/>
      </w:pPr>
      <w:r w:rsidRPr="00D827E8">
        <w:rPr>
          <w:rStyle w:val="FootnoteReference"/>
          <w:i/>
        </w:rPr>
        <w:footnoteRef/>
      </w:r>
      <w:r w:rsidRPr="00D827E8">
        <w:rPr>
          <w:i/>
        </w:rPr>
        <w:t xml:space="preserve"> Testimony of the Division of Criminal Justice in Support of: S.B. No. 829: An Act Concerning the Unauthorized Practice of Law</w:t>
      </w:r>
      <w:r>
        <w:t xml:space="preserve">, Joint Com. on Judiciary, 1 (Feb. 13, 2013). </w:t>
      </w:r>
    </w:p>
  </w:footnote>
  <w:footnote w:id="26">
    <w:p w:rsidR="00012C27" w:rsidRDefault="00012C27" w:rsidP="00012C27">
      <w:pPr>
        <w:pStyle w:val="FootnoteText"/>
      </w:pPr>
      <w:r>
        <w:rPr>
          <w:rStyle w:val="FootnoteReference"/>
        </w:rPr>
        <w:footnoteRef/>
      </w:r>
      <w:r>
        <w:t xml:space="preserve"> </w:t>
      </w:r>
      <w:r w:rsidRPr="00E57EE2">
        <w:rPr>
          <w:i/>
        </w:rPr>
        <w:t>Id.</w:t>
      </w:r>
      <w:r>
        <w:t xml:space="preserve"> at 2.</w:t>
      </w:r>
    </w:p>
  </w:footnote>
  <w:footnote w:id="27">
    <w:p w:rsidR="00012C27" w:rsidRDefault="00012C27" w:rsidP="00012C27">
      <w:pPr>
        <w:pStyle w:val="FootnoteText"/>
      </w:pPr>
      <w:r>
        <w:rPr>
          <w:rStyle w:val="FootnoteReference"/>
        </w:rPr>
        <w:footnoteRef/>
      </w:r>
      <w:r>
        <w:t xml:space="preserve"> </w:t>
      </w:r>
      <w:r w:rsidRPr="0049601E">
        <w:rPr>
          <w:i/>
        </w:rPr>
        <w:t>E.g.</w:t>
      </w:r>
      <w:r>
        <w:t xml:space="preserve">, </w:t>
      </w:r>
      <w:r w:rsidRPr="00D16CB3">
        <w:t xml:space="preserve">Conn. </w:t>
      </w:r>
      <w:r>
        <w:t>Gen. Stat. § 53a-119.</w:t>
      </w:r>
    </w:p>
  </w:footnote>
  <w:footnote w:id="28">
    <w:p w:rsidR="00012C27" w:rsidRPr="001916C3" w:rsidRDefault="00012C27" w:rsidP="00012C27">
      <w:pPr>
        <w:pStyle w:val="FootnoteText"/>
      </w:pPr>
      <w:r>
        <w:rPr>
          <w:rStyle w:val="FootnoteReference"/>
        </w:rPr>
        <w:footnoteRef/>
      </w:r>
      <w:r>
        <w:t xml:space="preserve"> </w:t>
      </w:r>
      <w:r w:rsidRPr="004225A2">
        <w:rPr>
          <w:i/>
        </w:rPr>
        <w:t>Id.</w:t>
      </w:r>
      <w:r>
        <w:t xml:space="preserve">; </w:t>
      </w:r>
      <w:r w:rsidRPr="004225A2">
        <w:rPr>
          <w:i/>
        </w:rPr>
        <w:t>id.</w:t>
      </w:r>
      <w:r>
        <w:t xml:space="preserve"> at</w:t>
      </w:r>
      <w:r w:rsidRPr="001916C3">
        <w:t xml:space="preserve"> § 53a-124(a)</w:t>
      </w:r>
      <w: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77E" w:rsidRDefault="00C95846" w:rsidP="008858AC">
    <w:pPr>
      <w:pStyle w:val="Header"/>
      <w:ind w:left="0" w:right="-720" w:hanging="720"/>
      <w:rPr>
        <w:noProof/>
        <w:lang w:bidi="ar-SA"/>
      </w:rPr>
    </w:pPr>
    <w:r>
      <w:rPr>
        <w:noProof/>
        <w:lang w:bidi="ar-SA"/>
      </w:rPr>
      <w:t xml:space="preserve">Consumers for a Responsive Legal System </w:t>
    </w:r>
    <w:r>
      <w:rPr>
        <w:noProof/>
        <w:lang w:bidi="ar-SA"/>
      </w:rPr>
      <w:tab/>
    </w:r>
    <w:r>
      <w:rPr>
        <w:noProof/>
        <w:lang w:bidi="ar-SA"/>
      </w:rPr>
      <w:tab/>
      <w:t xml:space="preserve">Testimony in </w:t>
    </w:r>
    <w:r w:rsidR="00F15652">
      <w:rPr>
        <w:noProof/>
        <w:lang w:bidi="ar-SA"/>
      </w:rPr>
      <w:t xml:space="preserve">Opposition to </w:t>
    </w:r>
    <w:r w:rsidR="00972ABB">
      <w:rPr>
        <w:noProof/>
        <w:lang w:bidi="ar-SA"/>
      </w:rPr>
      <w:t>S.B. 829</w:t>
    </w:r>
    <w:r w:rsidR="0054677E">
      <w:rPr>
        <w:noProof/>
        <w:lang w:bidi="ar-SA"/>
      </w:rPr>
      <w:t xml:space="preserve"> – </w:t>
    </w:r>
  </w:p>
  <w:p w:rsidR="00C95846" w:rsidRDefault="009A28CE" w:rsidP="00070DA5">
    <w:pPr>
      <w:pStyle w:val="Header"/>
      <w:tabs>
        <w:tab w:val="left" w:pos="4680"/>
      </w:tabs>
      <w:ind w:left="0" w:right="-720" w:hanging="720"/>
    </w:pPr>
    <w:r>
      <w:rPr>
        <w:noProof/>
        <w:lang w:bidi="ar-SA"/>
      </w:rPr>
      <w:tab/>
    </w:r>
    <w:r>
      <w:rPr>
        <w:noProof/>
        <w:lang w:bidi="ar-SA"/>
      </w:rPr>
      <w:tab/>
    </w:r>
    <w:r w:rsidR="008858AC">
      <w:rPr>
        <w:noProof/>
        <w:lang w:bidi="ar-SA"/>
      </w:rPr>
      <w:tab/>
    </w:r>
    <w:r w:rsidR="0054677E">
      <w:rPr>
        <w:noProof/>
        <w:lang w:bidi="ar-SA"/>
      </w:rPr>
      <w:t>Unauthorized Practice of Law</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46" w:rsidRDefault="00C95846" w:rsidP="005F14BF">
    <w:pPr>
      <w:pStyle w:val="Header"/>
      <w:ind w:hanging="3420"/>
    </w:pPr>
    <w:r>
      <w:rPr>
        <w:noProof/>
        <w:lang w:bidi="ar-SA"/>
      </w:rPr>
      <w:drawing>
        <wp:inline distT="0" distB="0" distL="0" distR="0">
          <wp:extent cx="2219732" cy="876300"/>
          <wp:effectExtent l="19050" t="0" r="9118" b="0"/>
          <wp:docPr id="2" name="Picture 0" descr="New R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L Logo.jpg"/>
                  <pic:cNvPicPr/>
                </pic:nvPicPr>
                <pic:blipFill>
                  <a:blip r:embed="rId1"/>
                  <a:stretch>
                    <a:fillRect/>
                  </a:stretch>
                </pic:blipFill>
                <pic:spPr>
                  <a:xfrm>
                    <a:off x="0" y="0"/>
                    <a:ext cx="2219732" cy="876300"/>
                  </a:xfrm>
                  <a:prstGeom prst="rect">
                    <a:avLst/>
                  </a:prstGeom>
                </pic:spPr>
              </pic:pic>
            </a:graphicData>
          </a:graphic>
        </wp:inline>
      </w:drawing>
    </w:r>
  </w:p>
  <w:p w:rsidR="00C95846" w:rsidRDefault="00C95846">
    <w:pPr>
      <w:pStyle w:val="Header"/>
    </w:pPr>
  </w:p>
  <w:p w:rsidR="00C95846" w:rsidRDefault="00C9584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792"/>
        </w:tabs>
        <w:ind w:left="792" w:hanging="432"/>
      </w:pPr>
    </w:lvl>
    <w:lvl w:ilvl="1">
      <w:start w:val="1"/>
      <w:numFmt w:val="none"/>
      <w:lvlText w:val=""/>
      <w:lvlJc w:val="left"/>
      <w:pPr>
        <w:tabs>
          <w:tab w:val="num" w:pos="936"/>
        </w:tabs>
        <w:ind w:left="936" w:hanging="576"/>
      </w:pPr>
    </w:lvl>
    <w:lvl w:ilvl="2">
      <w:start w:val="1"/>
      <w:numFmt w:val="none"/>
      <w:lvlText w:val=""/>
      <w:lvlJc w:val="left"/>
      <w:pPr>
        <w:tabs>
          <w:tab w:val="num" w:pos="1080"/>
        </w:tabs>
        <w:ind w:left="1080" w:hanging="720"/>
      </w:pPr>
    </w:lvl>
    <w:lvl w:ilvl="3">
      <w:start w:val="1"/>
      <w:numFmt w:val="none"/>
      <w:lvlText w:val=""/>
      <w:lvlJc w:val="left"/>
      <w:pPr>
        <w:tabs>
          <w:tab w:val="num" w:pos="1224"/>
        </w:tabs>
        <w:ind w:left="1224" w:hanging="864"/>
      </w:pPr>
    </w:lvl>
    <w:lvl w:ilvl="4">
      <w:start w:val="1"/>
      <w:numFmt w:val="none"/>
      <w:lvlText w:val=""/>
      <w:lvlJc w:val="left"/>
      <w:pPr>
        <w:tabs>
          <w:tab w:val="num" w:pos="1368"/>
        </w:tabs>
        <w:ind w:left="1368" w:hanging="1008"/>
      </w:pPr>
    </w:lvl>
    <w:lvl w:ilvl="5">
      <w:start w:val="1"/>
      <w:numFmt w:val="none"/>
      <w:lvlText w:val=""/>
      <w:lvlJc w:val="left"/>
      <w:pPr>
        <w:tabs>
          <w:tab w:val="num" w:pos="1512"/>
        </w:tabs>
        <w:ind w:left="1512" w:hanging="1152"/>
      </w:pPr>
    </w:lvl>
    <w:lvl w:ilvl="6">
      <w:start w:val="1"/>
      <w:numFmt w:val="none"/>
      <w:lvlText w:val=""/>
      <w:lvlJc w:val="left"/>
      <w:pPr>
        <w:tabs>
          <w:tab w:val="num" w:pos="1656"/>
        </w:tabs>
        <w:ind w:left="1656" w:hanging="1296"/>
      </w:pPr>
    </w:lvl>
    <w:lvl w:ilvl="7">
      <w:start w:val="1"/>
      <w:numFmt w:val="none"/>
      <w:lvlText w:val=""/>
      <w:lvlJc w:val="left"/>
      <w:pPr>
        <w:tabs>
          <w:tab w:val="num" w:pos="1800"/>
        </w:tabs>
        <w:ind w:left="1800" w:hanging="1440"/>
      </w:pPr>
    </w:lvl>
    <w:lvl w:ilvl="8">
      <w:start w:val="1"/>
      <w:numFmt w:val="none"/>
      <w:lvlText w:val=""/>
      <w:lvlJc w:val="left"/>
      <w:pPr>
        <w:tabs>
          <w:tab w:val="num" w:pos="1944"/>
        </w:tabs>
        <w:ind w:left="194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2A394E"/>
    <w:multiLevelType w:val="hybridMultilevel"/>
    <w:tmpl w:val="672A41DA"/>
    <w:lvl w:ilvl="0" w:tplc="516032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C5834AD"/>
    <w:multiLevelType w:val="hybridMultilevel"/>
    <w:tmpl w:val="21FAEA50"/>
    <w:lvl w:ilvl="0" w:tplc="F14A4914">
      <w:start w:val="1"/>
      <w:numFmt w:val="bullet"/>
      <w:lvlText w:val="&lt;"/>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6FF64B1"/>
    <w:multiLevelType w:val="hybridMultilevel"/>
    <w:tmpl w:val="64FCB228"/>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BB23CCB"/>
    <w:multiLevelType w:val="hybridMultilevel"/>
    <w:tmpl w:val="0EFE785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75B69D3"/>
    <w:multiLevelType w:val="hybridMultilevel"/>
    <w:tmpl w:val="2408C3A6"/>
    <w:lvl w:ilvl="0" w:tplc="4B12467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428E0894"/>
    <w:multiLevelType w:val="hybridMultilevel"/>
    <w:tmpl w:val="DC50903A"/>
    <w:lvl w:ilvl="0" w:tplc="A13AB3CA">
      <w:start w:val="1"/>
      <w:numFmt w:val="lowerLetter"/>
      <w:pStyle w:val="Heading3"/>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4556448C"/>
    <w:multiLevelType w:val="hybridMultilevel"/>
    <w:tmpl w:val="F76EE9F0"/>
    <w:lvl w:ilvl="0" w:tplc="F14A4914">
      <w:start w:val="1"/>
      <w:numFmt w:val="bullet"/>
      <w:lvlText w:val="&lt;"/>
      <w:lvlJc w:val="left"/>
      <w:pPr>
        <w:ind w:left="2520" w:hanging="360"/>
      </w:pPr>
      <w:rPr>
        <w:rFonts w:ascii="Webdings" w:hAnsi="Web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56182008"/>
    <w:multiLevelType w:val="hybridMultilevel"/>
    <w:tmpl w:val="67CA3486"/>
    <w:lvl w:ilvl="0" w:tplc="4B8234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EF03633"/>
    <w:multiLevelType w:val="hybridMultilevel"/>
    <w:tmpl w:val="F6BE9A0E"/>
    <w:lvl w:ilvl="0" w:tplc="F14A4914">
      <w:start w:val="1"/>
      <w:numFmt w:val="bullet"/>
      <w:lvlText w:val="&lt;"/>
      <w:lvlJc w:val="left"/>
      <w:pPr>
        <w:ind w:left="2520" w:hanging="360"/>
      </w:pPr>
      <w:rPr>
        <w:rFonts w:ascii="Webdings" w:hAnsi="Web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42335FE"/>
    <w:multiLevelType w:val="hybridMultilevel"/>
    <w:tmpl w:val="16BEE5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D656181"/>
    <w:multiLevelType w:val="hybridMultilevel"/>
    <w:tmpl w:val="D56AD48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E567550"/>
    <w:multiLevelType w:val="hybridMultilevel"/>
    <w:tmpl w:val="46E0550A"/>
    <w:lvl w:ilvl="0" w:tplc="90F8F15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1"/>
  </w:num>
  <w:num w:numId="3">
    <w:abstractNumId w:val="0"/>
  </w:num>
  <w:num w:numId="4">
    <w:abstractNumId w:val="3"/>
  </w:num>
  <w:num w:numId="5">
    <w:abstractNumId w:val="7"/>
  </w:num>
  <w:num w:numId="6">
    <w:abstractNumId w:val="4"/>
  </w:num>
  <w:num w:numId="7">
    <w:abstractNumId w:val="9"/>
  </w:num>
  <w:num w:numId="8">
    <w:abstractNumId w:val="14"/>
  </w:num>
  <w:num w:numId="9">
    <w:abstractNumId w:val="13"/>
  </w:num>
  <w:num w:numId="10">
    <w:abstractNumId w:val="6"/>
  </w:num>
  <w:num w:numId="11">
    <w:abstractNumId w:val="15"/>
  </w:num>
  <w:num w:numId="12">
    <w:abstractNumId w:val="8"/>
  </w:num>
  <w:num w:numId="13">
    <w:abstractNumId w:val="11"/>
  </w:num>
  <w:num w:numId="14">
    <w:abstractNumId w:val="12"/>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
  <w:rsids>
    <w:rsidRoot w:val="00E12423"/>
    <w:rsid w:val="00004E23"/>
    <w:rsid w:val="000061F8"/>
    <w:rsid w:val="00012C27"/>
    <w:rsid w:val="00024899"/>
    <w:rsid w:val="00041D47"/>
    <w:rsid w:val="000420DA"/>
    <w:rsid w:val="000457BF"/>
    <w:rsid w:val="0006344C"/>
    <w:rsid w:val="00065CBC"/>
    <w:rsid w:val="000709F0"/>
    <w:rsid w:val="00070DA5"/>
    <w:rsid w:val="00077FD4"/>
    <w:rsid w:val="000834AA"/>
    <w:rsid w:val="00091FA9"/>
    <w:rsid w:val="00092A23"/>
    <w:rsid w:val="0009589C"/>
    <w:rsid w:val="00097C40"/>
    <w:rsid w:val="000A0F88"/>
    <w:rsid w:val="000A604C"/>
    <w:rsid w:val="000B62BE"/>
    <w:rsid w:val="000C209F"/>
    <w:rsid w:val="000C578F"/>
    <w:rsid w:val="000C6D84"/>
    <w:rsid w:val="000C7DD8"/>
    <w:rsid w:val="000D0A05"/>
    <w:rsid w:val="000D48CA"/>
    <w:rsid w:val="000F304D"/>
    <w:rsid w:val="000F59CC"/>
    <w:rsid w:val="001029BC"/>
    <w:rsid w:val="00112171"/>
    <w:rsid w:val="00113DA9"/>
    <w:rsid w:val="001267F8"/>
    <w:rsid w:val="0012772E"/>
    <w:rsid w:val="001432BA"/>
    <w:rsid w:val="001472BD"/>
    <w:rsid w:val="001611F0"/>
    <w:rsid w:val="00166144"/>
    <w:rsid w:val="00182680"/>
    <w:rsid w:val="00184F8B"/>
    <w:rsid w:val="00194547"/>
    <w:rsid w:val="001973D1"/>
    <w:rsid w:val="001A329A"/>
    <w:rsid w:val="001B7F81"/>
    <w:rsid w:val="001C113B"/>
    <w:rsid w:val="001C7980"/>
    <w:rsid w:val="001D28FB"/>
    <w:rsid w:val="001F3817"/>
    <w:rsid w:val="001F3AD5"/>
    <w:rsid w:val="00200059"/>
    <w:rsid w:val="00212E37"/>
    <w:rsid w:val="00220DB0"/>
    <w:rsid w:val="00221001"/>
    <w:rsid w:val="00224322"/>
    <w:rsid w:val="00230680"/>
    <w:rsid w:val="0023162B"/>
    <w:rsid w:val="00236D87"/>
    <w:rsid w:val="002446FA"/>
    <w:rsid w:val="0024595A"/>
    <w:rsid w:val="00246F33"/>
    <w:rsid w:val="00250784"/>
    <w:rsid w:val="00263E6E"/>
    <w:rsid w:val="002654BA"/>
    <w:rsid w:val="002748BD"/>
    <w:rsid w:val="00276275"/>
    <w:rsid w:val="0028375E"/>
    <w:rsid w:val="00283F85"/>
    <w:rsid w:val="002867CF"/>
    <w:rsid w:val="00292857"/>
    <w:rsid w:val="00294799"/>
    <w:rsid w:val="00295F7A"/>
    <w:rsid w:val="002A4785"/>
    <w:rsid w:val="002B06E9"/>
    <w:rsid w:val="002B154C"/>
    <w:rsid w:val="002B7E66"/>
    <w:rsid w:val="002C00EB"/>
    <w:rsid w:val="002C5193"/>
    <w:rsid w:val="002D2AF7"/>
    <w:rsid w:val="002D3687"/>
    <w:rsid w:val="002D4668"/>
    <w:rsid w:val="002D6CCB"/>
    <w:rsid w:val="002D73E7"/>
    <w:rsid w:val="002E1184"/>
    <w:rsid w:val="002E4778"/>
    <w:rsid w:val="002F2C0D"/>
    <w:rsid w:val="00341538"/>
    <w:rsid w:val="00342B10"/>
    <w:rsid w:val="00354642"/>
    <w:rsid w:val="00355B67"/>
    <w:rsid w:val="00356000"/>
    <w:rsid w:val="003576B2"/>
    <w:rsid w:val="003726AD"/>
    <w:rsid w:val="00374CAE"/>
    <w:rsid w:val="00382193"/>
    <w:rsid w:val="003835D8"/>
    <w:rsid w:val="003839B7"/>
    <w:rsid w:val="003860E5"/>
    <w:rsid w:val="00387F0A"/>
    <w:rsid w:val="003906AA"/>
    <w:rsid w:val="003B77DA"/>
    <w:rsid w:val="003C12E0"/>
    <w:rsid w:val="003C4168"/>
    <w:rsid w:val="003C6B28"/>
    <w:rsid w:val="003C7F5A"/>
    <w:rsid w:val="003D54F0"/>
    <w:rsid w:val="003E19C5"/>
    <w:rsid w:val="003E4120"/>
    <w:rsid w:val="003E7EE9"/>
    <w:rsid w:val="003F5BCE"/>
    <w:rsid w:val="00401F99"/>
    <w:rsid w:val="00410BBF"/>
    <w:rsid w:val="004160CE"/>
    <w:rsid w:val="0042334E"/>
    <w:rsid w:val="004251C7"/>
    <w:rsid w:val="004332ED"/>
    <w:rsid w:val="00435616"/>
    <w:rsid w:val="00443999"/>
    <w:rsid w:val="0045443C"/>
    <w:rsid w:val="00454490"/>
    <w:rsid w:val="004567EA"/>
    <w:rsid w:val="00456C94"/>
    <w:rsid w:val="00457CB3"/>
    <w:rsid w:val="00461F24"/>
    <w:rsid w:val="00464D70"/>
    <w:rsid w:val="004666AA"/>
    <w:rsid w:val="00470800"/>
    <w:rsid w:val="004727DB"/>
    <w:rsid w:val="00473716"/>
    <w:rsid w:val="00473A42"/>
    <w:rsid w:val="00473C9E"/>
    <w:rsid w:val="00481BF5"/>
    <w:rsid w:val="00482116"/>
    <w:rsid w:val="00484185"/>
    <w:rsid w:val="00484AD5"/>
    <w:rsid w:val="0049601E"/>
    <w:rsid w:val="004A16F4"/>
    <w:rsid w:val="004A3141"/>
    <w:rsid w:val="004A328C"/>
    <w:rsid w:val="004A5834"/>
    <w:rsid w:val="004A7A96"/>
    <w:rsid w:val="004B0215"/>
    <w:rsid w:val="004B47C9"/>
    <w:rsid w:val="004B78B0"/>
    <w:rsid w:val="004C0E52"/>
    <w:rsid w:val="004D0E5A"/>
    <w:rsid w:val="004D19A4"/>
    <w:rsid w:val="004E3CE7"/>
    <w:rsid w:val="004F0ADA"/>
    <w:rsid w:val="00502F94"/>
    <w:rsid w:val="00504CFA"/>
    <w:rsid w:val="00514A43"/>
    <w:rsid w:val="00516DA7"/>
    <w:rsid w:val="00520B2E"/>
    <w:rsid w:val="0054063C"/>
    <w:rsid w:val="0054174E"/>
    <w:rsid w:val="00541CEA"/>
    <w:rsid w:val="0054677E"/>
    <w:rsid w:val="00550DC4"/>
    <w:rsid w:val="00551BF1"/>
    <w:rsid w:val="005522E6"/>
    <w:rsid w:val="00552FBD"/>
    <w:rsid w:val="0056011E"/>
    <w:rsid w:val="00561055"/>
    <w:rsid w:val="00566312"/>
    <w:rsid w:val="00572295"/>
    <w:rsid w:val="005752F4"/>
    <w:rsid w:val="005842E5"/>
    <w:rsid w:val="00585C46"/>
    <w:rsid w:val="005906AF"/>
    <w:rsid w:val="00590A37"/>
    <w:rsid w:val="00591961"/>
    <w:rsid w:val="005A3C88"/>
    <w:rsid w:val="005A78AF"/>
    <w:rsid w:val="005B2E74"/>
    <w:rsid w:val="005B30D3"/>
    <w:rsid w:val="005B5B62"/>
    <w:rsid w:val="005C3528"/>
    <w:rsid w:val="005C3D64"/>
    <w:rsid w:val="005D2888"/>
    <w:rsid w:val="005D5753"/>
    <w:rsid w:val="005D5E30"/>
    <w:rsid w:val="005D75E5"/>
    <w:rsid w:val="005E0DC5"/>
    <w:rsid w:val="005E3AD9"/>
    <w:rsid w:val="005E49D5"/>
    <w:rsid w:val="005E7793"/>
    <w:rsid w:val="005F06F8"/>
    <w:rsid w:val="005F0C43"/>
    <w:rsid w:val="005F14BF"/>
    <w:rsid w:val="005F3AA9"/>
    <w:rsid w:val="005F426F"/>
    <w:rsid w:val="005F756D"/>
    <w:rsid w:val="00612DE9"/>
    <w:rsid w:val="00617062"/>
    <w:rsid w:val="00617D4C"/>
    <w:rsid w:val="00630DF7"/>
    <w:rsid w:val="0063141E"/>
    <w:rsid w:val="0063481A"/>
    <w:rsid w:val="00635196"/>
    <w:rsid w:val="00635EA4"/>
    <w:rsid w:val="0064349C"/>
    <w:rsid w:val="00653581"/>
    <w:rsid w:val="006560B1"/>
    <w:rsid w:val="00657DF6"/>
    <w:rsid w:val="006602C4"/>
    <w:rsid w:val="00674FB5"/>
    <w:rsid w:val="00677C2B"/>
    <w:rsid w:val="006970D7"/>
    <w:rsid w:val="006A036D"/>
    <w:rsid w:val="006B05A4"/>
    <w:rsid w:val="006B2D8C"/>
    <w:rsid w:val="006E55B4"/>
    <w:rsid w:val="006E725E"/>
    <w:rsid w:val="006F142A"/>
    <w:rsid w:val="006F3FAF"/>
    <w:rsid w:val="006F72AF"/>
    <w:rsid w:val="00712374"/>
    <w:rsid w:val="0071298B"/>
    <w:rsid w:val="0071579D"/>
    <w:rsid w:val="00724376"/>
    <w:rsid w:val="007323BB"/>
    <w:rsid w:val="00740A8F"/>
    <w:rsid w:val="00743EB8"/>
    <w:rsid w:val="00754276"/>
    <w:rsid w:val="0075429F"/>
    <w:rsid w:val="00754308"/>
    <w:rsid w:val="00765B10"/>
    <w:rsid w:val="00766ADA"/>
    <w:rsid w:val="007755E9"/>
    <w:rsid w:val="00782ABB"/>
    <w:rsid w:val="007835BB"/>
    <w:rsid w:val="007853DC"/>
    <w:rsid w:val="007859FE"/>
    <w:rsid w:val="00791B9E"/>
    <w:rsid w:val="007A1D04"/>
    <w:rsid w:val="007A24B5"/>
    <w:rsid w:val="007A2962"/>
    <w:rsid w:val="007A7301"/>
    <w:rsid w:val="007B142A"/>
    <w:rsid w:val="007C1A78"/>
    <w:rsid w:val="007C33F7"/>
    <w:rsid w:val="007C34D2"/>
    <w:rsid w:val="007C4D1F"/>
    <w:rsid w:val="007C754A"/>
    <w:rsid w:val="007D4083"/>
    <w:rsid w:val="007D4766"/>
    <w:rsid w:val="007D4B17"/>
    <w:rsid w:val="007D6B08"/>
    <w:rsid w:val="007E0012"/>
    <w:rsid w:val="007E0748"/>
    <w:rsid w:val="007F2D7D"/>
    <w:rsid w:val="00815B2D"/>
    <w:rsid w:val="008173F4"/>
    <w:rsid w:val="00825E11"/>
    <w:rsid w:val="008316FA"/>
    <w:rsid w:val="00831E6C"/>
    <w:rsid w:val="00841F83"/>
    <w:rsid w:val="008423BA"/>
    <w:rsid w:val="00857C30"/>
    <w:rsid w:val="0087276E"/>
    <w:rsid w:val="00873C3D"/>
    <w:rsid w:val="008751FC"/>
    <w:rsid w:val="00876C6B"/>
    <w:rsid w:val="008851B6"/>
    <w:rsid w:val="008858AC"/>
    <w:rsid w:val="00887249"/>
    <w:rsid w:val="008979F8"/>
    <w:rsid w:val="008C1D4E"/>
    <w:rsid w:val="008C326B"/>
    <w:rsid w:val="008C75C3"/>
    <w:rsid w:val="008E155C"/>
    <w:rsid w:val="008F3E6E"/>
    <w:rsid w:val="00901148"/>
    <w:rsid w:val="00902294"/>
    <w:rsid w:val="00902EC9"/>
    <w:rsid w:val="00904C87"/>
    <w:rsid w:val="00907BD9"/>
    <w:rsid w:val="009103EF"/>
    <w:rsid w:val="009133C1"/>
    <w:rsid w:val="009156C3"/>
    <w:rsid w:val="00920CA8"/>
    <w:rsid w:val="009210F8"/>
    <w:rsid w:val="00934D13"/>
    <w:rsid w:val="00936D48"/>
    <w:rsid w:val="009514FE"/>
    <w:rsid w:val="0095452E"/>
    <w:rsid w:val="009555DC"/>
    <w:rsid w:val="00956776"/>
    <w:rsid w:val="0096032D"/>
    <w:rsid w:val="00965A32"/>
    <w:rsid w:val="00972ABB"/>
    <w:rsid w:val="00973551"/>
    <w:rsid w:val="00974B1C"/>
    <w:rsid w:val="009836C1"/>
    <w:rsid w:val="00983EFB"/>
    <w:rsid w:val="009840D4"/>
    <w:rsid w:val="00992480"/>
    <w:rsid w:val="00995654"/>
    <w:rsid w:val="009A0997"/>
    <w:rsid w:val="009A28CE"/>
    <w:rsid w:val="009A4E84"/>
    <w:rsid w:val="009B0DD9"/>
    <w:rsid w:val="009B54E5"/>
    <w:rsid w:val="009B55D9"/>
    <w:rsid w:val="009B7D08"/>
    <w:rsid w:val="009C7CCD"/>
    <w:rsid w:val="009D4481"/>
    <w:rsid w:val="009D72CB"/>
    <w:rsid w:val="009E08CD"/>
    <w:rsid w:val="009E1887"/>
    <w:rsid w:val="009E4E55"/>
    <w:rsid w:val="009E59C1"/>
    <w:rsid w:val="009E6C8A"/>
    <w:rsid w:val="009F063C"/>
    <w:rsid w:val="00A03F35"/>
    <w:rsid w:val="00A045DD"/>
    <w:rsid w:val="00A053F7"/>
    <w:rsid w:val="00A1077D"/>
    <w:rsid w:val="00A1220F"/>
    <w:rsid w:val="00A1339E"/>
    <w:rsid w:val="00A169A3"/>
    <w:rsid w:val="00A257FC"/>
    <w:rsid w:val="00A31615"/>
    <w:rsid w:val="00A335FB"/>
    <w:rsid w:val="00A35B02"/>
    <w:rsid w:val="00A46D35"/>
    <w:rsid w:val="00A643AF"/>
    <w:rsid w:val="00A77FE2"/>
    <w:rsid w:val="00A83B79"/>
    <w:rsid w:val="00A8662A"/>
    <w:rsid w:val="00A86C08"/>
    <w:rsid w:val="00A902DC"/>
    <w:rsid w:val="00A909CA"/>
    <w:rsid w:val="00A91A1B"/>
    <w:rsid w:val="00AA0C63"/>
    <w:rsid w:val="00AA11BD"/>
    <w:rsid w:val="00AB5CDE"/>
    <w:rsid w:val="00AC1B9E"/>
    <w:rsid w:val="00AC2CA0"/>
    <w:rsid w:val="00AC2E8A"/>
    <w:rsid w:val="00AC395C"/>
    <w:rsid w:val="00AD1EB1"/>
    <w:rsid w:val="00AF14C6"/>
    <w:rsid w:val="00AF66BF"/>
    <w:rsid w:val="00AF79FA"/>
    <w:rsid w:val="00B03B4F"/>
    <w:rsid w:val="00B043E7"/>
    <w:rsid w:val="00B0575F"/>
    <w:rsid w:val="00B06DC1"/>
    <w:rsid w:val="00B0737A"/>
    <w:rsid w:val="00B16D56"/>
    <w:rsid w:val="00B465A8"/>
    <w:rsid w:val="00B46820"/>
    <w:rsid w:val="00B52917"/>
    <w:rsid w:val="00B56744"/>
    <w:rsid w:val="00B56AC4"/>
    <w:rsid w:val="00B66955"/>
    <w:rsid w:val="00B73109"/>
    <w:rsid w:val="00B75FDB"/>
    <w:rsid w:val="00B8023B"/>
    <w:rsid w:val="00B82FDF"/>
    <w:rsid w:val="00B8453E"/>
    <w:rsid w:val="00B86BF5"/>
    <w:rsid w:val="00B86E57"/>
    <w:rsid w:val="00BA0AF7"/>
    <w:rsid w:val="00BB0F73"/>
    <w:rsid w:val="00BC6367"/>
    <w:rsid w:val="00BD0364"/>
    <w:rsid w:val="00BD7D57"/>
    <w:rsid w:val="00BF20A7"/>
    <w:rsid w:val="00BF3E1E"/>
    <w:rsid w:val="00C1742A"/>
    <w:rsid w:val="00C17DE4"/>
    <w:rsid w:val="00C24B71"/>
    <w:rsid w:val="00C3508A"/>
    <w:rsid w:val="00C35AB4"/>
    <w:rsid w:val="00C3751C"/>
    <w:rsid w:val="00C4063B"/>
    <w:rsid w:val="00C459C7"/>
    <w:rsid w:val="00C478CE"/>
    <w:rsid w:val="00C502E0"/>
    <w:rsid w:val="00C53182"/>
    <w:rsid w:val="00C630FA"/>
    <w:rsid w:val="00C67B3A"/>
    <w:rsid w:val="00C702A9"/>
    <w:rsid w:val="00C75EB9"/>
    <w:rsid w:val="00C776FA"/>
    <w:rsid w:val="00C77C22"/>
    <w:rsid w:val="00C8665C"/>
    <w:rsid w:val="00C90216"/>
    <w:rsid w:val="00C93BF9"/>
    <w:rsid w:val="00C95846"/>
    <w:rsid w:val="00CA024F"/>
    <w:rsid w:val="00CE2CEA"/>
    <w:rsid w:val="00CF0012"/>
    <w:rsid w:val="00D07876"/>
    <w:rsid w:val="00D147AB"/>
    <w:rsid w:val="00D17BA3"/>
    <w:rsid w:val="00D24256"/>
    <w:rsid w:val="00D24ACA"/>
    <w:rsid w:val="00D2669A"/>
    <w:rsid w:val="00D27231"/>
    <w:rsid w:val="00D311AC"/>
    <w:rsid w:val="00D45CE6"/>
    <w:rsid w:val="00D46AC5"/>
    <w:rsid w:val="00D53A37"/>
    <w:rsid w:val="00D66359"/>
    <w:rsid w:val="00D7026E"/>
    <w:rsid w:val="00D72A03"/>
    <w:rsid w:val="00D74F55"/>
    <w:rsid w:val="00D80B8F"/>
    <w:rsid w:val="00D94B15"/>
    <w:rsid w:val="00D9774D"/>
    <w:rsid w:val="00D97B19"/>
    <w:rsid w:val="00DA0CAB"/>
    <w:rsid w:val="00DA0E5D"/>
    <w:rsid w:val="00DA1E5F"/>
    <w:rsid w:val="00DA4237"/>
    <w:rsid w:val="00DA62EB"/>
    <w:rsid w:val="00DB57AC"/>
    <w:rsid w:val="00DC78C4"/>
    <w:rsid w:val="00DD4316"/>
    <w:rsid w:val="00DE03A4"/>
    <w:rsid w:val="00DF107D"/>
    <w:rsid w:val="00DF1E02"/>
    <w:rsid w:val="00E01980"/>
    <w:rsid w:val="00E0336A"/>
    <w:rsid w:val="00E04284"/>
    <w:rsid w:val="00E10C0A"/>
    <w:rsid w:val="00E12423"/>
    <w:rsid w:val="00E12C4F"/>
    <w:rsid w:val="00E16B38"/>
    <w:rsid w:val="00E17903"/>
    <w:rsid w:val="00E2062E"/>
    <w:rsid w:val="00E23426"/>
    <w:rsid w:val="00E44CDF"/>
    <w:rsid w:val="00E752FB"/>
    <w:rsid w:val="00E8068B"/>
    <w:rsid w:val="00E8745A"/>
    <w:rsid w:val="00E90B55"/>
    <w:rsid w:val="00E95F06"/>
    <w:rsid w:val="00E96DD0"/>
    <w:rsid w:val="00EA2633"/>
    <w:rsid w:val="00EA2B61"/>
    <w:rsid w:val="00EB1D4B"/>
    <w:rsid w:val="00EC01E7"/>
    <w:rsid w:val="00EC6378"/>
    <w:rsid w:val="00ED234A"/>
    <w:rsid w:val="00ED3A82"/>
    <w:rsid w:val="00ED5107"/>
    <w:rsid w:val="00EE23B3"/>
    <w:rsid w:val="00EE6B48"/>
    <w:rsid w:val="00EE7BC2"/>
    <w:rsid w:val="00EF0352"/>
    <w:rsid w:val="00EF6BA2"/>
    <w:rsid w:val="00F15652"/>
    <w:rsid w:val="00F23F89"/>
    <w:rsid w:val="00F263FD"/>
    <w:rsid w:val="00F320DC"/>
    <w:rsid w:val="00F3298B"/>
    <w:rsid w:val="00F32DE5"/>
    <w:rsid w:val="00F336AB"/>
    <w:rsid w:val="00F40974"/>
    <w:rsid w:val="00F517B4"/>
    <w:rsid w:val="00F57BF7"/>
    <w:rsid w:val="00F6051F"/>
    <w:rsid w:val="00F628A8"/>
    <w:rsid w:val="00F6596D"/>
    <w:rsid w:val="00F6637E"/>
    <w:rsid w:val="00F708BD"/>
    <w:rsid w:val="00F752EA"/>
    <w:rsid w:val="00F9406C"/>
    <w:rsid w:val="00F945D3"/>
    <w:rsid w:val="00FA47F0"/>
    <w:rsid w:val="00FB73BC"/>
    <w:rsid w:val="00FC45B9"/>
    <w:rsid w:val="00FE1A0C"/>
    <w:rsid w:val="00FF00AE"/>
    <w:rsid w:val="00FF30F1"/>
    <w:rsid w:val="00FF78BD"/>
    <w:rsid w:val="00FF7DA1"/>
  </w:rsids>
  <m:mathPr>
    <m:mathFont m:val="Book Antiqu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uiPriority="35"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CBC"/>
    <w:rPr>
      <w:sz w:val="22"/>
    </w:rPr>
  </w:style>
  <w:style w:type="paragraph" w:styleId="Heading1">
    <w:name w:val="heading 1"/>
    <w:basedOn w:val="Normal"/>
    <w:next w:val="Normal"/>
    <w:link w:val="Heading1Char"/>
    <w:uiPriority w:val="9"/>
    <w:qFormat/>
    <w:rsid w:val="00E04284"/>
    <w:pPr>
      <w:keepNext/>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2C00EB"/>
    <w:pPr>
      <w:keepNext/>
      <w:spacing w:before="240" w:after="60" w:line="276" w:lineRule="auto"/>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4B47C9"/>
    <w:pPr>
      <w:keepNext/>
      <w:numPr>
        <w:numId w:val="7"/>
      </w:num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unhideWhenUsed/>
    <w:qFormat/>
    <w:rsid w:val="003576B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unhideWhenUsed/>
    <w:qFormat/>
    <w:rsid w:val="003576B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unhideWhenUsed/>
    <w:qFormat/>
    <w:rsid w:val="003576B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unhideWhenUsed/>
    <w:qFormat/>
    <w:rsid w:val="003576B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unhideWhenUsed/>
    <w:qFormat/>
    <w:rsid w:val="003576B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unhideWhenUsed/>
    <w:qFormat/>
    <w:rsid w:val="003576B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rsid w:val="00E0336A"/>
    <w:pPr>
      <w:spacing w:after="20" w:line="240" w:lineRule="auto"/>
    </w:pPr>
    <w:rPr>
      <w:rFonts w:ascii="Cambria" w:hAnsi="Cambria"/>
      <w:sz w:val="19"/>
    </w:rPr>
  </w:style>
  <w:style w:type="character" w:customStyle="1" w:styleId="FootnoteTextChar">
    <w:name w:val="Footnote Text Char"/>
    <w:basedOn w:val="DefaultParagraphFont"/>
    <w:link w:val="FootnoteText"/>
    <w:uiPriority w:val="99"/>
    <w:rsid w:val="00E0336A"/>
    <w:rPr>
      <w:rFonts w:ascii="Cambria" w:hAnsi="Cambria"/>
      <w:sz w:val="19"/>
    </w:rPr>
  </w:style>
  <w:style w:type="character" w:styleId="FootnoteReference">
    <w:name w:val="footnote reference"/>
    <w:basedOn w:val="DefaultParagraphFont"/>
    <w:uiPriority w:val="99"/>
    <w:rsid w:val="001C7980"/>
    <w:rPr>
      <w:vertAlign w:val="superscript"/>
    </w:rPr>
  </w:style>
  <w:style w:type="character" w:customStyle="1" w:styleId="Heading4Char">
    <w:name w:val="Heading 4 Char"/>
    <w:basedOn w:val="DefaultParagraphFont"/>
    <w:link w:val="Heading4"/>
    <w:uiPriority w:val="9"/>
    <w:rsid w:val="003576B2"/>
    <w:rPr>
      <w:rFonts w:asciiTheme="majorHAnsi" w:eastAsiaTheme="majorEastAsia" w:hAnsiTheme="majorHAnsi" w:cstheme="majorBidi"/>
      <w:b/>
      <w:bCs/>
      <w:smallCaps/>
      <w:color w:val="3071C3" w:themeColor="text2" w:themeTint="BF"/>
      <w:spacing w:val="20"/>
    </w:rPr>
  </w:style>
  <w:style w:type="character" w:customStyle="1" w:styleId="FootnoteCharacters">
    <w:name w:val="Footnote Characters"/>
    <w:rsid w:val="00551BF1"/>
  </w:style>
  <w:style w:type="paragraph" w:styleId="BodyText">
    <w:name w:val="Body Text"/>
    <w:basedOn w:val="Normal"/>
    <w:link w:val="BodyTextChar"/>
    <w:rsid w:val="00551BF1"/>
    <w:pPr>
      <w:widowControl w:val="0"/>
      <w:suppressAutoHyphens/>
      <w:spacing w:after="120"/>
    </w:pPr>
    <w:rPr>
      <w:rFonts w:ascii="Times New Roman" w:eastAsia="Lucida Sans Unicode" w:hAnsi="Times New Roman" w:cs="Times New Roman"/>
      <w:kern w:val="1"/>
    </w:rPr>
  </w:style>
  <w:style w:type="character" w:customStyle="1" w:styleId="BodyTextChar">
    <w:name w:val="Body Text Char"/>
    <w:basedOn w:val="DefaultParagraphFont"/>
    <w:link w:val="BodyText"/>
    <w:rsid w:val="00551BF1"/>
    <w:rPr>
      <w:rFonts w:ascii="Times New Roman" w:eastAsia="Lucida Sans Unicode" w:hAnsi="Times New Roman" w:cs="Times New Roman"/>
      <w:kern w:val="1"/>
    </w:rPr>
  </w:style>
  <w:style w:type="paragraph" w:customStyle="1" w:styleId="TableContents">
    <w:name w:val="Table Contents"/>
    <w:basedOn w:val="Normal"/>
    <w:rsid w:val="00551BF1"/>
    <w:pPr>
      <w:widowControl w:val="0"/>
      <w:suppressLineNumbers/>
      <w:suppressAutoHyphens/>
      <w:spacing w:after="0"/>
    </w:pPr>
    <w:rPr>
      <w:rFonts w:ascii="Times New Roman" w:eastAsia="Lucida Sans Unicode" w:hAnsi="Times New Roman" w:cs="Times New Roman"/>
      <w:kern w:val="1"/>
    </w:rPr>
  </w:style>
  <w:style w:type="paragraph" w:styleId="ListParagraph">
    <w:name w:val="List Paragraph"/>
    <w:basedOn w:val="Normal"/>
    <w:uiPriority w:val="34"/>
    <w:qFormat/>
    <w:rsid w:val="003576B2"/>
    <w:pPr>
      <w:ind w:left="720"/>
      <w:contextualSpacing/>
    </w:pPr>
  </w:style>
  <w:style w:type="character" w:styleId="CommentReference">
    <w:name w:val="annotation reference"/>
    <w:basedOn w:val="DefaultParagraphFont"/>
    <w:rsid w:val="005D75E5"/>
    <w:rPr>
      <w:sz w:val="16"/>
      <w:szCs w:val="16"/>
    </w:rPr>
  </w:style>
  <w:style w:type="paragraph" w:styleId="CommentText">
    <w:name w:val="annotation text"/>
    <w:basedOn w:val="Normal"/>
    <w:link w:val="CommentTextChar"/>
    <w:rsid w:val="005D75E5"/>
  </w:style>
  <w:style w:type="character" w:customStyle="1" w:styleId="CommentTextChar">
    <w:name w:val="Comment Text Char"/>
    <w:basedOn w:val="DefaultParagraphFont"/>
    <w:link w:val="CommentText"/>
    <w:rsid w:val="005D75E5"/>
    <w:rPr>
      <w:sz w:val="20"/>
      <w:szCs w:val="20"/>
    </w:rPr>
  </w:style>
  <w:style w:type="paragraph" w:styleId="CommentSubject">
    <w:name w:val="annotation subject"/>
    <w:basedOn w:val="CommentText"/>
    <w:next w:val="CommentText"/>
    <w:link w:val="CommentSubjectChar"/>
    <w:rsid w:val="005D75E5"/>
    <w:rPr>
      <w:b/>
      <w:bCs/>
    </w:rPr>
  </w:style>
  <w:style w:type="character" w:customStyle="1" w:styleId="CommentSubjectChar">
    <w:name w:val="Comment Subject Char"/>
    <w:basedOn w:val="CommentTextChar"/>
    <w:link w:val="CommentSubject"/>
    <w:rsid w:val="005D75E5"/>
    <w:rPr>
      <w:b/>
      <w:bCs/>
      <w:sz w:val="20"/>
      <w:szCs w:val="20"/>
    </w:rPr>
  </w:style>
  <w:style w:type="paragraph" w:styleId="BalloonText">
    <w:name w:val="Balloon Text"/>
    <w:basedOn w:val="Normal"/>
    <w:link w:val="BalloonTextChar"/>
    <w:rsid w:val="005D75E5"/>
    <w:pPr>
      <w:spacing w:after="0"/>
    </w:pPr>
    <w:rPr>
      <w:rFonts w:ascii="Tahoma" w:hAnsi="Tahoma" w:cs="Tahoma"/>
      <w:sz w:val="16"/>
      <w:szCs w:val="16"/>
    </w:rPr>
  </w:style>
  <w:style w:type="character" w:customStyle="1" w:styleId="BalloonTextChar">
    <w:name w:val="Balloon Text Char"/>
    <w:basedOn w:val="DefaultParagraphFont"/>
    <w:link w:val="BalloonText"/>
    <w:rsid w:val="005D75E5"/>
    <w:rPr>
      <w:rFonts w:ascii="Tahoma" w:hAnsi="Tahoma" w:cs="Tahoma"/>
      <w:sz w:val="16"/>
      <w:szCs w:val="16"/>
    </w:rPr>
  </w:style>
  <w:style w:type="character" w:styleId="Hyperlink">
    <w:name w:val="Hyperlink"/>
    <w:basedOn w:val="DefaultParagraphFont"/>
    <w:rsid w:val="00ED5107"/>
    <w:rPr>
      <w:color w:val="0000FF" w:themeColor="hyperlink"/>
      <w:u w:val="single"/>
    </w:rPr>
  </w:style>
  <w:style w:type="character" w:customStyle="1" w:styleId="character-cit1">
    <w:name w:val="character-cit1"/>
    <w:basedOn w:val="DefaultParagraphFont"/>
    <w:rsid w:val="004567EA"/>
    <w:rPr>
      <w:color w:val="FF0000"/>
    </w:rPr>
  </w:style>
  <w:style w:type="character" w:styleId="FollowedHyperlink">
    <w:name w:val="FollowedHyperlink"/>
    <w:basedOn w:val="DefaultParagraphFont"/>
    <w:rsid w:val="00C478CE"/>
    <w:rPr>
      <w:color w:val="800080" w:themeColor="followedHyperlink"/>
      <w:u w:val="single"/>
    </w:rPr>
  </w:style>
  <w:style w:type="character" w:customStyle="1" w:styleId="Heading1Char">
    <w:name w:val="Heading 1 Char"/>
    <w:basedOn w:val="DefaultParagraphFont"/>
    <w:link w:val="Heading1"/>
    <w:uiPriority w:val="9"/>
    <w:rsid w:val="00E04284"/>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2C00EB"/>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rsid w:val="004B47C9"/>
    <w:rPr>
      <w:rFonts w:asciiTheme="majorHAnsi" w:eastAsiaTheme="majorEastAsia" w:hAnsiTheme="majorHAnsi" w:cstheme="majorBidi"/>
      <w:smallCaps/>
      <w:color w:val="1F497D" w:themeColor="text2"/>
      <w:spacing w:val="20"/>
      <w:sz w:val="24"/>
      <w:szCs w:val="24"/>
    </w:rPr>
  </w:style>
  <w:style w:type="character" w:customStyle="1" w:styleId="Heading5Char">
    <w:name w:val="Heading 5 Char"/>
    <w:basedOn w:val="DefaultParagraphFont"/>
    <w:link w:val="Heading5"/>
    <w:uiPriority w:val="9"/>
    <w:rsid w:val="003576B2"/>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rsid w:val="003576B2"/>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rsid w:val="003576B2"/>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rsid w:val="003576B2"/>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rsid w:val="003576B2"/>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unhideWhenUsed/>
    <w:qFormat/>
    <w:rsid w:val="003576B2"/>
    <w:rPr>
      <w:b/>
      <w:bCs/>
      <w:smallCaps/>
      <w:color w:val="1F497D" w:themeColor="text2"/>
      <w:spacing w:val="10"/>
      <w:sz w:val="18"/>
      <w:szCs w:val="18"/>
    </w:rPr>
  </w:style>
  <w:style w:type="paragraph" w:styleId="Title">
    <w:name w:val="Title"/>
    <w:next w:val="Normal"/>
    <w:link w:val="TitleChar"/>
    <w:uiPriority w:val="10"/>
    <w:qFormat/>
    <w:rsid w:val="003576B2"/>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3576B2"/>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3576B2"/>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3576B2"/>
    <w:rPr>
      <w:smallCaps/>
      <w:color w:val="938953" w:themeColor="background2" w:themeShade="7F"/>
      <w:spacing w:val="5"/>
      <w:sz w:val="28"/>
      <w:szCs w:val="28"/>
    </w:rPr>
  </w:style>
  <w:style w:type="character" w:styleId="Strong">
    <w:name w:val="Strong"/>
    <w:uiPriority w:val="22"/>
    <w:qFormat/>
    <w:rsid w:val="003576B2"/>
    <w:rPr>
      <w:b/>
      <w:bCs/>
      <w:spacing w:val="0"/>
    </w:rPr>
  </w:style>
  <w:style w:type="character" w:styleId="Emphasis">
    <w:name w:val="Emphasis"/>
    <w:uiPriority w:val="20"/>
    <w:qFormat/>
    <w:rsid w:val="003576B2"/>
    <w:rPr>
      <w:b/>
      <w:bCs/>
      <w:smallCaps/>
      <w:dstrike w:val="0"/>
      <w:color w:val="5A5A5A" w:themeColor="text1" w:themeTint="A5"/>
      <w:spacing w:val="20"/>
      <w:kern w:val="0"/>
      <w:vertAlign w:val="baseline"/>
    </w:rPr>
  </w:style>
  <w:style w:type="paragraph" w:styleId="NoSpacing">
    <w:name w:val="No Spacing"/>
    <w:basedOn w:val="Normal"/>
    <w:uiPriority w:val="1"/>
    <w:qFormat/>
    <w:rsid w:val="003576B2"/>
    <w:pPr>
      <w:spacing w:after="0" w:line="240" w:lineRule="auto"/>
    </w:pPr>
  </w:style>
  <w:style w:type="paragraph" w:styleId="Quote">
    <w:name w:val="Quote"/>
    <w:basedOn w:val="Normal"/>
    <w:next w:val="Normal"/>
    <w:link w:val="QuoteChar"/>
    <w:uiPriority w:val="29"/>
    <w:qFormat/>
    <w:rsid w:val="003576B2"/>
    <w:rPr>
      <w:i/>
      <w:iCs/>
    </w:rPr>
  </w:style>
  <w:style w:type="character" w:customStyle="1" w:styleId="QuoteChar">
    <w:name w:val="Quote Char"/>
    <w:basedOn w:val="DefaultParagraphFont"/>
    <w:link w:val="Quote"/>
    <w:uiPriority w:val="29"/>
    <w:rsid w:val="003576B2"/>
    <w:rPr>
      <w:i/>
      <w:iCs/>
      <w:color w:val="5A5A5A" w:themeColor="text1" w:themeTint="A5"/>
      <w:sz w:val="20"/>
      <w:szCs w:val="20"/>
    </w:rPr>
  </w:style>
  <w:style w:type="paragraph" w:styleId="IntenseQuote">
    <w:name w:val="Intense Quote"/>
    <w:basedOn w:val="Normal"/>
    <w:next w:val="Normal"/>
    <w:link w:val="IntenseQuoteChar"/>
    <w:uiPriority w:val="30"/>
    <w:qFormat/>
    <w:rsid w:val="003576B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3576B2"/>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3576B2"/>
    <w:rPr>
      <w:smallCaps/>
      <w:dstrike w:val="0"/>
      <w:color w:val="5A5A5A" w:themeColor="text1" w:themeTint="A5"/>
      <w:vertAlign w:val="baseline"/>
    </w:rPr>
  </w:style>
  <w:style w:type="character" w:styleId="IntenseEmphasis">
    <w:name w:val="Intense Emphasis"/>
    <w:uiPriority w:val="21"/>
    <w:qFormat/>
    <w:rsid w:val="003576B2"/>
    <w:rPr>
      <w:b/>
      <w:bCs/>
      <w:smallCaps/>
      <w:color w:val="4F81BD" w:themeColor="accent1"/>
      <w:spacing w:val="40"/>
    </w:rPr>
  </w:style>
  <w:style w:type="character" w:styleId="SubtleReference">
    <w:name w:val="Subtle Reference"/>
    <w:uiPriority w:val="31"/>
    <w:qFormat/>
    <w:rsid w:val="003576B2"/>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3576B2"/>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3576B2"/>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3576B2"/>
    <w:pPr>
      <w:outlineLvl w:val="9"/>
    </w:pPr>
  </w:style>
  <w:style w:type="paragraph" w:styleId="Header">
    <w:name w:val="header"/>
    <w:basedOn w:val="Normal"/>
    <w:link w:val="HeaderChar"/>
    <w:rsid w:val="003576B2"/>
    <w:pPr>
      <w:tabs>
        <w:tab w:val="center" w:pos="4680"/>
        <w:tab w:val="right" w:pos="9360"/>
      </w:tabs>
      <w:spacing w:after="0" w:line="240" w:lineRule="auto"/>
    </w:pPr>
  </w:style>
  <w:style w:type="character" w:customStyle="1" w:styleId="HeaderChar">
    <w:name w:val="Header Char"/>
    <w:basedOn w:val="DefaultParagraphFont"/>
    <w:link w:val="Header"/>
    <w:rsid w:val="003576B2"/>
    <w:rPr>
      <w:color w:val="5A5A5A" w:themeColor="text1" w:themeTint="A5"/>
    </w:rPr>
  </w:style>
  <w:style w:type="paragraph" w:styleId="Footer">
    <w:name w:val="footer"/>
    <w:basedOn w:val="Normal"/>
    <w:link w:val="FooterChar"/>
    <w:uiPriority w:val="99"/>
    <w:rsid w:val="00357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B2"/>
    <w:rPr>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6B2"/>
    <w:rPr>
      <w:color w:val="5A5A5A" w:themeColor="text1" w:themeTint="A5"/>
    </w:rPr>
  </w:style>
  <w:style w:type="paragraph" w:styleId="Heading1">
    <w:name w:val="heading 1"/>
    <w:basedOn w:val="Normal"/>
    <w:next w:val="Normal"/>
    <w:link w:val="Heading1Char"/>
    <w:uiPriority w:val="9"/>
    <w:qFormat/>
    <w:rsid w:val="00E04284"/>
    <w:pPr>
      <w:keepNext/>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2C00EB"/>
    <w:pPr>
      <w:keepNext/>
      <w:spacing w:before="240" w:after="60" w:line="276" w:lineRule="auto"/>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4B47C9"/>
    <w:pPr>
      <w:keepNext/>
      <w:numPr>
        <w:numId w:val="7"/>
      </w:num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unhideWhenUsed/>
    <w:qFormat/>
    <w:rsid w:val="003576B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unhideWhenUsed/>
    <w:qFormat/>
    <w:rsid w:val="003576B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unhideWhenUsed/>
    <w:qFormat/>
    <w:rsid w:val="003576B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unhideWhenUsed/>
    <w:qFormat/>
    <w:rsid w:val="003576B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unhideWhenUsed/>
    <w:qFormat/>
    <w:rsid w:val="003576B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unhideWhenUsed/>
    <w:qFormat/>
    <w:rsid w:val="003576B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36D87"/>
    <w:pPr>
      <w:spacing w:after="0"/>
    </w:pPr>
  </w:style>
  <w:style w:type="character" w:customStyle="1" w:styleId="FootnoteTextChar">
    <w:name w:val="Footnote Text Char"/>
    <w:basedOn w:val="DefaultParagraphFont"/>
    <w:link w:val="FootnoteText"/>
    <w:rsid w:val="00236D87"/>
  </w:style>
  <w:style w:type="character" w:styleId="FootnoteReference">
    <w:name w:val="footnote reference"/>
    <w:basedOn w:val="DefaultParagraphFont"/>
    <w:rsid w:val="001C7980"/>
    <w:rPr>
      <w:vertAlign w:val="superscript"/>
    </w:rPr>
  </w:style>
  <w:style w:type="character" w:customStyle="1" w:styleId="Heading4Char">
    <w:name w:val="Heading 4 Char"/>
    <w:basedOn w:val="DefaultParagraphFont"/>
    <w:link w:val="Heading4"/>
    <w:uiPriority w:val="9"/>
    <w:rsid w:val="003576B2"/>
    <w:rPr>
      <w:rFonts w:asciiTheme="majorHAnsi" w:eastAsiaTheme="majorEastAsia" w:hAnsiTheme="majorHAnsi" w:cstheme="majorBidi"/>
      <w:b/>
      <w:bCs/>
      <w:smallCaps/>
      <w:color w:val="3071C3" w:themeColor="text2" w:themeTint="BF"/>
      <w:spacing w:val="20"/>
    </w:rPr>
  </w:style>
  <w:style w:type="character" w:customStyle="1" w:styleId="FootnoteCharacters">
    <w:name w:val="Footnote Characters"/>
    <w:rsid w:val="00551BF1"/>
  </w:style>
  <w:style w:type="paragraph" w:styleId="BodyText">
    <w:name w:val="Body Text"/>
    <w:basedOn w:val="Normal"/>
    <w:link w:val="BodyTextChar"/>
    <w:rsid w:val="00551BF1"/>
    <w:pPr>
      <w:widowControl w:val="0"/>
      <w:suppressAutoHyphens/>
      <w:spacing w:after="120"/>
    </w:pPr>
    <w:rPr>
      <w:rFonts w:ascii="Times New Roman" w:eastAsia="Lucida Sans Unicode" w:hAnsi="Times New Roman" w:cs="Times New Roman"/>
      <w:kern w:val="1"/>
    </w:rPr>
  </w:style>
  <w:style w:type="character" w:customStyle="1" w:styleId="BodyTextChar">
    <w:name w:val="Body Text Char"/>
    <w:basedOn w:val="DefaultParagraphFont"/>
    <w:link w:val="BodyText"/>
    <w:rsid w:val="00551BF1"/>
    <w:rPr>
      <w:rFonts w:ascii="Times New Roman" w:eastAsia="Lucida Sans Unicode" w:hAnsi="Times New Roman" w:cs="Times New Roman"/>
      <w:kern w:val="1"/>
    </w:rPr>
  </w:style>
  <w:style w:type="paragraph" w:customStyle="1" w:styleId="TableContents">
    <w:name w:val="Table Contents"/>
    <w:basedOn w:val="Normal"/>
    <w:rsid w:val="00551BF1"/>
    <w:pPr>
      <w:widowControl w:val="0"/>
      <w:suppressLineNumbers/>
      <w:suppressAutoHyphens/>
      <w:spacing w:after="0"/>
    </w:pPr>
    <w:rPr>
      <w:rFonts w:ascii="Times New Roman" w:eastAsia="Lucida Sans Unicode" w:hAnsi="Times New Roman" w:cs="Times New Roman"/>
      <w:kern w:val="1"/>
    </w:rPr>
  </w:style>
  <w:style w:type="paragraph" w:styleId="ListParagraph">
    <w:name w:val="List Paragraph"/>
    <w:basedOn w:val="Normal"/>
    <w:uiPriority w:val="34"/>
    <w:qFormat/>
    <w:rsid w:val="003576B2"/>
    <w:pPr>
      <w:ind w:left="720"/>
      <w:contextualSpacing/>
    </w:pPr>
  </w:style>
  <w:style w:type="character" w:styleId="CommentReference">
    <w:name w:val="annotation reference"/>
    <w:basedOn w:val="DefaultParagraphFont"/>
    <w:rsid w:val="005D75E5"/>
    <w:rPr>
      <w:sz w:val="16"/>
      <w:szCs w:val="16"/>
    </w:rPr>
  </w:style>
  <w:style w:type="paragraph" w:styleId="CommentText">
    <w:name w:val="annotation text"/>
    <w:basedOn w:val="Normal"/>
    <w:link w:val="CommentTextChar"/>
    <w:rsid w:val="005D75E5"/>
  </w:style>
  <w:style w:type="character" w:customStyle="1" w:styleId="CommentTextChar">
    <w:name w:val="Comment Text Char"/>
    <w:basedOn w:val="DefaultParagraphFont"/>
    <w:link w:val="CommentText"/>
    <w:rsid w:val="005D75E5"/>
    <w:rPr>
      <w:sz w:val="20"/>
      <w:szCs w:val="20"/>
    </w:rPr>
  </w:style>
  <w:style w:type="paragraph" w:styleId="CommentSubject">
    <w:name w:val="annotation subject"/>
    <w:basedOn w:val="CommentText"/>
    <w:next w:val="CommentText"/>
    <w:link w:val="CommentSubjectChar"/>
    <w:rsid w:val="005D75E5"/>
    <w:rPr>
      <w:b/>
      <w:bCs/>
    </w:rPr>
  </w:style>
  <w:style w:type="character" w:customStyle="1" w:styleId="CommentSubjectChar">
    <w:name w:val="Comment Subject Char"/>
    <w:basedOn w:val="CommentTextChar"/>
    <w:link w:val="CommentSubject"/>
    <w:rsid w:val="005D75E5"/>
    <w:rPr>
      <w:b/>
      <w:bCs/>
      <w:sz w:val="20"/>
      <w:szCs w:val="20"/>
    </w:rPr>
  </w:style>
  <w:style w:type="paragraph" w:styleId="BalloonText">
    <w:name w:val="Balloon Text"/>
    <w:basedOn w:val="Normal"/>
    <w:link w:val="BalloonTextChar"/>
    <w:rsid w:val="005D75E5"/>
    <w:pPr>
      <w:spacing w:after="0"/>
    </w:pPr>
    <w:rPr>
      <w:rFonts w:ascii="Tahoma" w:hAnsi="Tahoma" w:cs="Tahoma"/>
      <w:sz w:val="16"/>
      <w:szCs w:val="16"/>
    </w:rPr>
  </w:style>
  <w:style w:type="character" w:customStyle="1" w:styleId="BalloonTextChar">
    <w:name w:val="Balloon Text Char"/>
    <w:basedOn w:val="DefaultParagraphFont"/>
    <w:link w:val="BalloonText"/>
    <w:rsid w:val="005D75E5"/>
    <w:rPr>
      <w:rFonts w:ascii="Tahoma" w:hAnsi="Tahoma" w:cs="Tahoma"/>
      <w:sz w:val="16"/>
      <w:szCs w:val="16"/>
    </w:rPr>
  </w:style>
  <w:style w:type="character" w:styleId="Hyperlink">
    <w:name w:val="Hyperlink"/>
    <w:basedOn w:val="DefaultParagraphFont"/>
    <w:rsid w:val="00ED5107"/>
    <w:rPr>
      <w:color w:val="0000FF" w:themeColor="hyperlink"/>
      <w:u w:val="single"/>
    </w:rPr>
  </w:style>
  <w:style w:type="character" w:customStyle="1" w:styleId="character-cit1">
    <w:name w:val="character-cit1"/>
    <w:basedOn w:val="DefaultParagraphFont"/>
    <w:rsid w:val="004567EA"/>
    <w:rPr>
      <w:color w:val="FF0000"/>
    </w:rPr>
  </w:style>
  <w:style w:type="character" w:styleId="FollowedHyperlink">
    <w:name w:val="FollowedHyperlink"/>
    <w:basedOn w:val="DefaultParagraphFont"/>
    <w:rsid w:val="00C478CE"/>
    <w:rPr>
      <w:color w:val="800080" w:themeColor="followedHyperlink"/>
      <w:u w:val="single"/>
    </w:rPr>
  </w:style>
  <w:style w:type="character" w:customStyle="1" w:styleId="Heading1Char">
    <w:name w:val="Heading 1 Char"/>
    <w:basedOn w:val="DefaultParagraphFont"/>
    <w:link w:val="Heading1"/>
    <w:uiPriority w:val="9"/>
    <w:rsid w:val="00E04284"/>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2C00EB"/>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rsid w:val="004B47C9"/>
    <w:rPr>
      <w:rFonts w:asciiTheme="majorHAnsi" w:eastAsiaTheme="majorEastAsia" w:hAnsiTheme="majorHAnsi" w:cstheme="majorBidi"/>
      <w:smallCaps/>
      <w:color w:val="1F497D" w:themeColor="text2"/>
      <w:spacing w:val="20"/>
      <w:sz w:val="24"/>
      <w:szCs w:val="24"/>
    </w:rPr>
  </w:style>
  <w:style w:type="character" w:customStyle="1" w:styleId="Heading5Char">
    <w:name w:val="Heading 5 Char"/>
    <w:basedOn w:val="DefaultParagraphFont"/>
    <w:link w:val="Heading5"/>
    <w:uiPriority w:val="9"/>
    <w:rsid w:val="003576B2"/>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rsid w:val="003576B2"/>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rsid w:val="003576B2"/>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rsid w:val="003576B2"/>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rsid w:val="003576B2"/>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unhideWhenUsed/>
    <w:qFormat/>
    <w:rsid w:val="003576B2"/>
    <w:rPr>
      <w:b/>
      <w:bCs/>
      <w:smallCaps/>
      <w:color w:val="1F497D" w:themeColor="text2"/>
      <w:spacing w:val="10"/>
      <w:sz w:val="18"/>
      <w:szCs w:val="18"/>
    </w:rPr>
  </w:style>
  <w:style w:type="paragraph" w:styleId="Title">
    <w:name w:val="Title"/>
    <w:next w:val="Normal"/>
    <w:link w:val="TitleChar"/>
    <w:uiPriority w:val="10"/>
    <w:qFormat/>
    <w:rsid w:val="003576B2"/>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3576B2"/>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3576B2"/>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3576B2"/>
    <w:rPr>
      <w:smallCaps/>
      <w:color w:val="938953" w:themeColor="background2" w:themeShade="7F"/>
      <w:spacing w:val="5"/>
      <w:sz w:val="28"/>
      <w:szCs w:val="28"/>
    </w:rPr>
  </w:style>
  <w:style w:type="character" w:styleId="Strong">
    <w:name w:val="Strong"/>
    <w:uiPriority w:val="22"/>
    <w:qFormat/>
    <w:rsid w:val="003576B2"/>
    <w:rPr>
      <w:b/>
      <w:bCs/>
      <w:spacing w:val="0"/>
    </w:rPr>
  </w:style>
  <w:style w:type="character" w:styleId="Emphasis">
    <w:name w:val="Emphasis"/>
    <w:uiPriority w:val="20"/>
    <w:qFormat/>
    <w:rsid w:val="003576B2"/>
    <w:rPr>
      <w:b/>
      <w:bCs/>
      <w:smallCaps/>
      <w:dstrike w:val="0"/>
      <w:color w:val="5A5A5A" w:themeColor="text1" w:themeTint="A5"/>
      <w:spacing w:val="20"/>
      <w:kern w:val="0"/>
      <w:vertAlign w:val="baseline"/>
    </w:rPr>
  </w:style>
  <w:style w:type="paragraph" w:styleId="NoSpacing">
    <w:name w:val="No Spacing"/>
    <w:basedOn w:val="Normal"/>
    <w:uiPriority w:val="1"/>
    <w:qFormat/>
    <w:rsid w:val="003576B2"/>
    <w:pPr>
      <w:spacing w:after="0" w:line="240" w:lineRule="auto"/>
    </w:pPr>
  </w:style>
  <w:style w:type="paragraph" w:styleId="Quote">
    <w:name w:val="Quote"/>
    <w:basedOn w:val="Normal"/>
    <w:next w:val="Normal"/>
    <w:link w:val="QuoteChar"/>
    <w:uiPriority w:val="29"/>
    <w:qFormat/>
    <w:rsid w:val="003576B2"/>
    <w:rPr>
      <w:i/>
      <w:iCs/>
    </w:rPr>
  </w:style>
  <w:style w:type="character" w:customStyle="1" w:styleId="QuoteChar">
    <w:name w:val="Quote Char"/>
    <w:basedOn w:val="DefaultParagraphFont"/>
    <w:link w:val="Quote"/>
    <w:uiPriority w:val="29"/>
    <w:rsid w:val="003576B2"/>
    <w:rPr>
      <w:i/>
      <w:iCs/>
      <w:color w:val="5A5A5A" w:themeColor="text1" w:themeTint="A5"/>
      <w:sz w:val="20"/>
      <w:szCs w:val="20"/>
    </w:rPr>
  </w:style>
  <w:style w:type="paragraph" w:styleId="IntenseQuote">
    <w:name w:val="Intense Quote"/>
    <w:basedOn w:val="Normal"/>
    <w:next w:val="Normal"/>
    <w:link w:val="IntenseQuoteChar"/>
    <w:uiPriority w:val="30"/>
    <w:qFormat/>
    <w:rsid w:val="003576B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3576B2"/>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3576B2"/>
    <w:rPr>
      <w:smallCaps/>
      <w:dstrike w:val="0"/>
      <w:color w:val="5A5A5A" w:themeColor="text1" w:themeTint="A5"/>
      <w:vertAlign w:val="baseline"/>
    </w:rPr>
  </w:style>
  <w:style w:type="character" w:styleId="IntenseEmphasis">
    <w:name w:val="Intense Emphasis"/>
    <w:uiPriority w:val="21"/>
    <w:qFormat/>
    <w:rsid w:val="003576B2"/>
    <w:rPr>
      <w:b/>
      <w:bCs/>
      <w:smallCaps/>
      <w:color w:val="4F81BD" w:themeColor="accent1"/>
      <w:spacing w:val="40"/>
    </w:rPr>
  </w:style>
  <w:style w:type="character" w:styleId="SubtleReference">
    <w:name w:val="Subtle Reference"/>
    <w:uiPriority w:val="31"/>
    <w:qFormat/>
    <w:rsid w:val="003576B2"/>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3576B2"/>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3576B2"/>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3576B2"/>
    <w:pPr>
      <w:outlineLvl w:val="9"/>
    </w:pPr>
  </w:style>
  <w:style w:type="paragraph" w:styleId="Header">
    <w:name w:val="header"/>
    <w:basedOn w:val="Normal"/>
    <w:link w:val="HeaderChar"/>
    <w:rsid w:val="003576B2"/>
    <w:pPr>
      <w:tabs>
        <w:tab w:val="center" w:pos="4680"/>
        <w:tab w:val="right" w:pos="9360"/>
      </w:tabs>
      <w:spacing w:after="0" w:line="240" w:lineRule="auto"/>
    </w:pPr>
  </w:style>
  <w:style w:type="character" w:customStyle="1" w:styleId="HeaderChar">
    <w:name w:val="Header Char"/>
    <w:basedOn w:val="DefaultParagraphFont"/>
    <w:link w:val="Header"/>
    <w:rsid w:val="003576B2"/>
    <w:rPr>
      <w:color w:val="5A5A5A" w:themeColor="text1" w:themeTint="A5"/>
    </w:rPr>
  </w:style>
  <w:style w:type="paragraph" w:styleId="Footer">
    <w:name w:val="footer"/>
    <w:basedOn w:val="Normal"/>
    <w:link w:val="FooterChar"/>
    <w:rsid w:val="003576B2"/>
    <w:pPr>
      <w:tabs>
        <w:tab w:val="center" w:pos="4680"/>
        <w:tab w:val="right" w:pos="9360"/>
      </w:tabs>
      <w:spacing w:after="0" w:line="240" w:lineRule="auto"/>
    </w:pPr>
  </w:style>
  <w:style w:type="character" w:customStyle="1" w:styleId="FooterChar">
    <w:name w:val="Footer Char"/>
    <w:basedOn w:val="DefaultParagraphFont"/>
    <w:link w:val="Footer"/>
    <w:rsid w:val="003576B2"/>
    <w:rPr>
      <w:color w:val="5A5A5A" w:themeColor="text1" w:themeTint="A5"/>
    </w:rPr>
  </w:style>
</w:styles>
</file>

<file path=word/webSettings.xml><?xml version="1.0" encoding="utf-8"?>
<w:webSettings xmlns:r="http://schemas.openxmlformats.org/officeDocument/2006/relationships" xmlns:w="http://schemas.openxmlformats.org/wordprocessingml/2006/main">
  <w:divs>
    <w:div w:id="111947763">
      <w:bodyDiv w:val="1"/>
      <w:marLeft w:val="0"/>
      <w:marRight w:val="0"/>
      <w:marTop w:val="0"/>
      <w:marBottom w:val="0"/>
      <w:divBdr>
        <w:top w:val="none" w:sz="0" w:space="0" w:color="auto"/>
        <w:left w:val="none" w:sz="0" w:space="0" w:color="auto"/>
        <w:bottom w:val="none" w:sz="0" w:space="0" w:color="auto"/>
        <w:right w:val="none" w:sz="0" w:space="0" w:color="auto"/>
      </w:divBdr>
    </w:div>
    <w:div w:id="307784482">
      <w:bodyDiv w:val="1"/>
      <w:marLeft w:val="0"/>
      <w:marRight w:val="0"/>
      <w:marTop w:val="0"/>
      <w:marBottom w:val="0"/>
      <w:divBdr>
        <w:top w:val="none" w:sz="0" w:space="0" w:color="auto"/>
        <w:left w:val="none" w:sz="0" w:space="0" w:color="auto"/>
        <w:bottom w:val="none" w:sz="0" w:space="0" w:color="auto"/>
        <w:right w:val="none" w:sz="0" w:space="0" w:color="auto"/>
      </w:divBdr>
    </w:div>
    <w:div w:id="1012613320">
      <w:bodyDiv w:val="1"/>
      <w:marLeft w:val="0"/>
      <w:marRight w:val="0"/>
      <w:marTop w:val="0"/>
      <w:marBottom w:val="0"/>
      <w:divBdr>
        <w:top w:val="none" w:sz="0" w:space="0" w:color="auto"/>
        <w:left w:val="none" w:sz="0" w:space="0" w:color="auto"/>
        <w:bottom w:val="none" w:sz="0" w:space="0" w:color="auto"/>
        <w:right w:val="none" w:sz="0" w:space="0" w:color="auto"/>
      </w:divBdr>
    </w:div>
    <w:div w:id="1777869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2F5C-499C-D543-8211-21390BE5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6</Pages>
  <Words>1551</Words>
  <Characters>8844</Characters>
  <Application>Microsoft Macintosh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Gordon</dc:creator>
  <cp:lastModifiedBy>Tom Gordon</cp:lastModifiedBy>
  <cp:revision>93</cp:revision>
  <dcterms:created xsi:type="dcterms:W3CDTF">2011-05-31T18:06:00Z</dcterms:created>
  <dcterms:modified xsi:type="dcterms:W3CDTF">2013-04-25T21:13:00Z</dcterms:modified>
</cp:coreProperties>
</file>