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3182" w:rsidRDefault="005E1503" w:rsidP="00A84975">
      <w:pPr>
        <w:ind w:hanging="3240"/>
      </w:pPr>
      <w:r w:rsidRPr="005E1503">
        <w:rPr>
          <w:noProof/>
          <w:color w:val="0F243E" w:themeColor="text2" w:themeShade="80"/>
          <w:sz w:val="40"/>
          <w:szCs w:val="40"/>
          <w:lang w:bidi="ar-SA"/>
        </w:rPr>
        <w:pict>
          <v:shapetype id="_x0000_t202" coordsize="21600,21600" o:spt="202" path="m0,0l0,21600,21600,21600,21600,0xe">
            <v:stroke joinstyle="miter"/>
            <v:path gradientshapeok="t" o:connecttype="rect"/>
          </v:shapetype>
          <v:shape id="Text Box 4" o:spid="_x0000_s1026" type="#_x0000_t202" style="position:absolute;left:0;text-align:left;margin-left:-67.9pt;margin-top:197.9pt;width:153.8pt;height:4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" stroked="f">
            <v:textbox>
              <w:txbxContent>
                <w:p w:rsidR="00A919AD" w:rsidRDefault="00A919AD" w:rsidP="00194547">
                  <w:pPr>
                    <w:ind w:left="180"/>
                  </w:pPr>
                </w:p>
                <w:p w:rsidR="00A919AD" w:rsidRDefault="00A919AD" w:rsidP="00194547">
                  <w:pPr>
                    <w:ind w:left="180"/>
                    <w:rPr>
                      <w:rFonts w:ascii="Cambria" w:hAnsi="Cambria"/>
                      <w:b/>
                      <w:szCs w:val="22"/>
                    </w:rPr>
                  </w:pPr>
                  <w:r>
                    <w:t>Tom</w:t>
                  </w:r>
                  <w:r w:rsidRPr="00995654">
                    <w:t xml:space="preserve"> Go</w:t>
                  </w:r>
                  <w:r>
                    <w:t>rdon</w:t>
                  </w:r>
                  <w:r>
                    <w:br/>
                  </w:r>
                  <w:r w:rsidRPr="005829EC">
                    <w:rPr>
                      <w:rFonts w:ascii="Cambria" w:hAnsi="Cambria"/>
                      <w:szCs w:val="22"/>
                    </w:rPr>
                    <w:t>Executive Director,</w:t>
                  </w:r>
                  <w:r w:rsidRPr="005829EC">
                    <w:rPr>
                      <w:rFonts w:ascii="Cambria" w:hAnsi="Cambria"/>
                      <w:szCs w:val="22"/>
                    </w:rPr>
                    <w:br/>
                  </w:r>
                  <w:r w:rsidRPr="005829EC">
                    <w:rPr>
                      <w:rFonts w:ascii="Cambria" w:hAnsi="Cambria"/>
                      <w:b/>
                      <w:szCs w:val="22"/>
                    </w:rPr>
                    <w:t>Responsive Law</w:t>
                  </w:r>
                </w:p>
                <w:p w:rsidR="00A919AD" w:rsidRDefault="00A919AD" w:rsidP="00194547">
                  <w:pPr>
                    <w:ind w:left="180"/>
                    <w:rPr>
                      <w:rFonts w:ascii="Cambria" w:hAnsi="Cambria"/>
                      <w:b/>
                      <w:szCs w:val="22"/>
                    </w:rPr>
                  </w:pPr>
                </w:p>
                <w:p w:rsidR="00A919AD" w:rsidRDefault="00A919AD" w:rsidP="00194547">
                  <w:pPr>
                    <w:ind w:left="180"/>
                    <w:rPr>
                      <w:rFonts w:ascii="Cambria" w:hAnsi="Cambria"/>
                      <w:szCs w:val="22"/>
                    </w:rPr>
                  </w:pPr>
                </w:p>
                <w:p w:rsidR="00A919AD" w:rsidRPr="005829EC" w:rsidRDefault="00A919AD" w:rsidP="00194547">
                  <w:pPr>
                    <w:ind w:left="180"/>
                    <w:rPr>
                      <w:rFonts w:ascii="Cambria" w:hAnsi="Cambria"/>
                      <w:szCs w:val="22"/>
                    </w:rPr>
                  </w:pPr>
                </w:p>
                <w:p w:rsidR="00A919AD" w:rsidRPr="005829EC" w:rsidRDefault="00A919AD" w:rsidP="00194547">
                  <w:pPr>
                    <w:ind w:left="180"/>
                    <w:rPr>
                      <w:rFonts w:ascii="Cambria" w:hAnsi="Cambria"/>
                      <w:szCs w:val="22"/>
                    </w:rPr>
                  </w:pPr>
                  <w:r>
                    <w:rPr>
                      <w:rFonts w:ascii="Cambria" w:hAnsi="Cambria"/>
                      <w:szCs w:val="22"/>
                    </w:rPr>
                    <w:t>Submitted</w:t>
                  </w:r>
                  <w:r w:rsidRPr="005829EC">
                    <w:rPr>
                      <w:rFonts w:ascii="Cambria" w:hAnsi="Cambria"/>
                      <w:szCs w:val="22"/>
                    </w:rPr>
                    <w:t xml:space="preserve"> to the</w:t>
                  </w:r>
                </w:p>
                <w:p w:rsidR="00A919AD" w:rsidRPr="005829EC" w:rsidRDefault="00A919AD" w:rsidP="005829EC">
                  <w:pPr>
                    <w:ind w:left="180"/>
                    <w:rPr>
                      <w:rFonts w:ascii="Cambria" w:eastAsia="Times New Roman" w:hAnsi="Cambria" w:cs="Times New Roman"/>
                      <w:b/>
                      <w:szCs w:val="22"/>
                      <w:shd w:val="clear" w:color="auto" w:fill="FFFFFF"/>
                    </w:rPr>
                  </w:pPr>
                  <w:r>
                    <w:rPr>
                      <w:rFonts w:ascii="Cambria" w:eastAsia="Times New Roman" w:hAnsi="Cambria" w:cs="Times New Roman"/>
                      <w:b/>
                      <w:szCs w:val="22"/>
                      <w:shd w:val="clear" w:color="auto" w:fill="FFFFFF"/>
                    </w:rPr>
                    <w:t>New Jersey Supreme Court</w:t>
                  </w:r>
                </w:p>
                <w:p w:rsidR="00A919AD" w:rsidRPr="005829EC" w:rsidRDefault="00A919AD" w:rsidP="005829EC">
                  <w:pPr>
                    <w:ind w:left="0"/>
                    <w:rPr>
                      <w:rFonts w:ascii="Cambria" w:hAnsi="Cambria"/>
                      <w:szCs w:val="22"/>
                    </w:rPr>
                  </w:pPr>
                  <w:r w:rsidRPr="005829EC">
                    <w:rPr>
                      <w:rFonts w:ascii="Cambria" w:hAnsi="Cambria"/>
                      <w:szCs w:val="22"/>
                    </w:rPr>
                    <w:t xml:space="preserve">    </w:t>
                  </w:r>
                  <w:r w:rsidR="00E32338">
                    <w:rPr>
                      <w:rFonts w:ascii="Cambria" w:hAnsi="Cambria"/>
                      <w:szCs w:val="22"/>
                    </w:rPr>
                    <w:t>July 27</w:t>
                  </w:r>
                  <w:r>
                    <w:rPr>
                      <w:rFonts w:ascii="Cambria" w:hAnsi="Cambria"/>
                      <w:szCs w:val="22"/>
                    </w:rPr>
                    <w:t>, 2017</w:t>
                  </w:r>
                </w:p>
                <w:p w:rsidR="00A919AD" w:rsidRDefault="00A919AD" w:rsidP="00194547">
                  <w:pPr>
                    <w:ind w:left="180"/>
                  </w:pPr>
                </w:p>
                <w:p w:rsidR="00A919AD" w:rsidRDefault="00A919AD" w:rsidP="00194547">
                  <w:pPr>
                    <w:ind w:left="180"/>
                  </w:pPr>
                </w:p>
              </w:txbxContent>
            </v:textbox>
          </v:shape>
        </w:pict>
      </w:r>
      <w:r w:rsidR="00454490" w:rsidRPr="0063481A">
        <w:rPr>
          <w:color w:val="0F243E" w:themeColor="text2" w:themeShade="80"/>
          <w:sz w:val="40"/>
          <w:szCs w:val="40"/>
        </w:rPr>
        <w:t>Comments</w:t>
      </w:r>
      <w:r w:rsidR="005F06F8" w:rsidRPr="0063481A">
        <w:rPr>
          <w:color w:val="0F243E" w:themeColor="text2" w:themeShade="80"/>
          <w:sz w:val="40"/>
          <w:szCs w:val="40"/>
        </w:rPr>
        <w:t xml:space="preserve"> </w:t>
      </w:r>
      <w:r w:rsidR="00EE6B48">
        <w:rPr>
          <w:color w:val="0F243E" w:themeColor="text2" w:themeShade="80"/>
          <w:sz w:val="40"/>
          <w:szCs w:val="40"/>
        </w:rPr>
        <w:t>on:</w:t>
      </w:r>
      <w:r w:rsidR="00EE6B48">
        <w:rPr>
          <w:color w:val="0F243E" w:themeColor="text2" w:themeShade="80"/>
          <w:sz w:val="40"/>
          <w:szCs w:val="40"/>
        </w:rPr>
        <w:tab/>
      </w:r>
      <w:r w:rsidR="00FD4264">
        <w:rPr>
          <w:color w:val="0F243E" w:themeColor="text2" w:themeShade="80"/>
          <w:sz w:val="40"/>
          <w:szCs w:val="40"/>
        </w:rPr>
        <w:t>Lawyer Participation in Atto</w:t>
      </w:r>
      <w:r w:rsidR="00530093">
        <w:rPr>
          <w:color w:val="0F243E" w:themeColor="text2" w:themeShade="80"/>
          <w:sz w:val="40"/>
          <w:szCs w:val="40"/>
        </w:rPr>
        <w:t>rney Client Matching Services—</w:t>
      </w:r>
      <w:r w:rsidR="008236F7">
        <w:rPr>
          <w:rStyle w:val="normaltextrun"/>
          <w:rFonts w:cs="Times New Roman"/>
          <w:sz w:val="40"/>
          <w:szCs w:val="40"/>
        </w:rPr>
        <w:t>Appeal of</w:t>
      </w:r>
      <w:r w:rsidR="00831A26" w:rsidRPr="00831A26">
        <w:rPr>
          <w:rStyle w:val="normaltextrun"/>
          <w:rFonts w:cs="Times New Roman"/>
          <w:sz w:val="40"/>
          <w:szCs w:val="40"/>
        </w:rPr>
        <w:t xml:space="preserve"> Joint Opinion: Attorney Committee on Professional Ethics Opinion 732, Committee on Attorney Advertising Opinion 44, and Unauthorized Practice of Law Opinion 54</w:t>
      </w:r>
      <w:r w:rsidR="000D6A8C">
        <w:rPr>
          <w:rStyle w:val="FootnoteReference"/>
          <w:rFonts w:cs="Times New Roman"/>
          <w:sz w:val="40"/>
          <w:szCs w:val="40"/>
        </w:rPr>
        <w:footnoteReference w:customMarkFollows="1" w:id="1"/>
        <w:t>*</w:t>
      </w:r>
    </w:p>
    <w:p w:rsidR="00A37BDE" w:rsidRDefault="00A37BDE" w:rsidP="00A84975">
      <w:pPr>
        <w:spacing w:after="0" w:line="240" w:lineRule="auto"/>
        <w:rPr>
          <w:rFonts w:ascii="Cambria" w:hAnsi="Cambria"/>
        </w:rPr>
      </w:pPr>
    </w:p>
    <w:p w:rsidR="00E32338" w:rsidRPr="00E32338" w:rsidRDefault="00E32338" w:rsidP="00E32338">
      <w:r w:rsidRPr="00E32338">
        <w:t>Responsive Law thanks the Supreme Court of New Jersey for the opportunity to present these comments. Responsive Law is a national nonprofit organization working to make the civil legal system more affordable, accessible, and accountable to its consumers.</w:t>
      </w:r>
    </w:p>
    <w:p w:rsidR="00E32338" w:rsidRPr="00E32338" w:rsidRDefault="00E32338" w:rsidP="00E32338">
      <w:r w:rsidRPr="00E32338">
        <w:t xml:space="preserve">Responsive Law has testified on numerous occasions to the American Bar Association and to state regulators about the bar’s responsibility to give greater weight to increasing access to justice when interpreting rules of professional conduct, and to consider whether the action in question causes the harm the rules were meant to prevent. Also, in the wake of the U.S. Supreme Court decision in </w:t>
      </w:r>
      <w:r w:rsidRPr="00E32338">
        <w:rPr>
          <w:i/>
        </w:rPr>
        <w:t>North Carolina Board of Dental Examiners v. Federal Trade Commission</w:t>
      </w:r>
      <w:r w:rsidRPr="00E32338">
        <w:rPr>
          <w:vertAlign w:val="superscript"/>
        </w:rPr>
        <w:footnoteReference w:id="2"/>
      </w:r>
      <w:r w:rsidRPr="00E32338">
        <w:t xml:space="preserve">, state bars need to exercise caution in enforcing rules that have an anticompetitive impact. For these reasons, </w:t>
      </w:r>
      <w:r w:rsidRPr="00E32338">
        <w:rPr>
          <w:b/>
        </w:rPr>
        <w:t xml:space="preserve">we ask the Court to reverse the position of the three bodies and allow attorney participation in attorney client matching services (ACMS) such as </w:t>
      </w:r>
      <w:proofErr w:type="spellStart"/>
      <w:r w:rsidRPr="00E32338">
        <w:rPr>
          <w:b/>
        </w:rPr>
        <w:t>Avvo</w:t>
      </w:r>
      <w:proofErr w:type="spellEnd"/>
      <w:r w:rsidRPr="00E32338">
        <w:rPr>
          <w:b/>
        </w:rPr>
        <w:t>, LegalZoom, and Rocket Lawyer</w:t>
      </w:r>
      <w:r w:rsidRPr="00E32338">
        <w:t xml:space="preserve">. </w:t>
      </w:r>
    </w:p>
    <w:p w:rsidR="00E32338" w:rsidRPr="00E32338" w:rsidRDefault="00E32338" w:rsidP="00E32338"/>
    <w:p w:rsidR="00E32338" w:rsidRPr="00E32338" w:rsidRDefault="00E32338" w:rsidP="00884E6C">
      <w:pPr>
        <w:jc w:val="center"/>
        <w:rPr>
          <w:b/>
        </w:rPr>
      </w:pPr>
      <w:r w:rsidRPr="00E32338">
        <w:rPr>
          <w:b/>
        </w:rPr>
        <w:t>The Court Has an Obligation To Address the Growing Access-to-Justice Gap</w:t>
      </w:r>
    </w:p>
    <w:p w:rsidR="00E32338" w:rsidRPr="00E32338" w:rsidRDefault="00E32338" w:rsidP="00E32338">
      <w:r w:rsidRPr="00E32338">
        <w:t>The United States is facing an access to justice crisis. While many calculations of the extent of this crisis focus on the poorest Americans, the scope of the crisis extends all the way to Americans of modest means and beyond, to encompass most of the middle class.</w:t>
      </w:r>
    </w:p>
    <w:p w:rsidR="00E32338" w:rsidRPr="00E32338" w:rsidRDefault="00E32338" w:rsidP="00E32338">
      <w:r w:rsidRPr="00E32338">
        <w:t>The World Justice Project reports that the U.S. is currently tied with Bangladesh and Egypt in terms of the affordability and accessibility of its civil justice system.</w:t>
      </w:r>
      <w:r w:rsidRPr="00E32338">
        <w:rPr>
          <w:vertAlign w:val="superscript"/>
        </w:rPr>
        <w:footnoteReference w:id="3"/>
      </w:r>
      <w:r w:rsidRPr="00E32338">
        <w:t xml:space="preserve"> </w:t>
      </w:r>
    </w:p>
    <w:p w:rsidR="00E32338" w:rsidRPr="00E32338" w:rsidRDefault="00E32338" w:rsidP="00E32338">
      <w:r w:rsidRPr="00E32338">
        <w:t>At hourly rates that do not dip much below $200 and which routinely exceed $300, few average Americans can afford to pay lawyers for assistance with everyday legal needs: simple estate planning; providing for elder care; arranging child custody and obtaining child support; addressing consumer debt problems and foreclosure; managing disputes over employment conditions or pay; obtaining access to legal entitlements to health care, education and public services.</w:t>
      </w:r>
      <w:r w:rsidRPr="00E32338">
        <w:rPr>
          <w:vertAlign w:val="superscript"/>
        </w:rPr>
        <w:footnoteReference w:id="4"/>
      </w:r>
      <w:r w:rsidRPr="00E32338">
        <w:t xml:space="preserve"> Surveys of legal needs of low- and moderate-income Americans find that roughly 50%-60% of American households faced an average of two significant legal problems in the previous year. Lack of access to legal representation leads Americans to take no action to address their legal problems at rates much higher than in countries, such as England and the Netherlands, with fewer restrictions on how legal services may be offered: roughly 25%-30% compared with 5%-10%.</w:t>
      </w:r>
      <w:r w:rsidRPr="00E32338">
        <w:rPr>
          <w:vertAlign w:val="superscript"/>
        </w:rPr>
        <w:footnoteReference w:id="5"/>
      </w:r>
    </w:p>
    <w:p w:rsidR="00E32338" w:rsidRPr="00E32338" w:rsidRDefault="00E32338" w:rsidP="00E32338">
      <w:r w:rsidRPr="00E32338">
        <w:t>Small businesses and entrepreneurs also face enormous hurdles in obtaining affordable legal services. They form business entities, file for trademarks and patents, take on debt or equity investment, determine their regulatory obligations, file taxes and manage contracts with customers, suppliers, franchisors and the public. A 2012 survey found that nearly 60% of small businesses had faced serious legal problems in the preceding two years—collections, contract review, supplier disputes, security breaches, products liability, employee theft, tax audits, employee confidentiality issues, threats of customer lawsuits, etc. Close to 60% of small businesses faced these problems without lawyer assistance. For those that did hire lawyers, the average expenditure was $7,600—an enormous cost for a small business.</w:t>
      </w:r>
      <w:r w:rsidRPr="00E32338">
        <w:rPr>
          <w:vertAlign w:val="superscript"/>
        </w:rPr>
        <w:footnoteReference w:id="6"/>
      </w:r>
    </w:p>
    <w:p w:rsidR="00E32338" w:rsidRPr="00E32338" w:rsidRDefault="00E32338" w:rsidP="00E32338">
      <w:r w:rsidRPr="00E32338">
        <w:t>An ACMS addresses the justice gap in numerous ways. Fixed fee services provide price certainty, which can be even more valuable to consumers than lower costs. In addition, an ACMS provides a measure of convenience that’s not available though traditionally marketed lawyers. It can provide its customers with a broad range of choices in regard to both location and subject matter expertise. Finally, an ACMS can allow consumers to easily comparison shop among their many options through an online interface.</w:t>
      </w:r>
    </w:p>
    <w:p w:rsidR="00E32338" w:rsidRPr="00E32338" w:rsidRDefault="00E32338" w:rsidP="00E32338">
      <w:r w:rsidRPr="00E32338">
        <w:t xml:space="preserve">Chief Justice </w:t>
      </w:r>
      <w:proofErr w:type="spellStart"/>
      <w:r w:rsidRPr="00E32338">
        <w:t>Rabner</w:t>
      </w:r>
      <w:proofErr w:type="spellEnd"/>
      <w:r w:rsidRPr="00E32338">
        <w:t xml:space="preserve"> created the Supreme Court Advisory Committee on Access and Fairness to guide the judiciary on how to administer justice fairly to all. The committee emphasizes “The Judiciary is guided by its four core values: independence, integrity, fairness and quality service. Access and fairness are the foundation of those values and shape the experience of every litigant. Fairness cannot be attained without access to the courts, the most important component of quality service.”</w:t>
      </w:r>
      <w:r w:rsidRPr="00E32338">
        <w:rPr>
          <w:vertAlign w:val="superscript"/>
        </w:rPr>
        <w:footnoteReference w:id="7"/>
      </w:r>
      <w:r w:rsidRPr="00E32338">
        <w:t xml:space="preserve"> The Court should be certain that when it reviews the actions of the committees, it does not abrogate its responsibilities with regard to promoting access to the justice system, fairness in its administration, and the independence and integrity of the judicial branch.</w:t>
      </w:r>
    </w:p>
    <w:p w:rsidR="00E32338" w:rsidRPr="00E32338" w:rsidRDefault="00E32338" w:rsidP="00E32338"/>
    <w:p w:rsidR="00E32338" w:rsidRPr="00E32338" w:rsidRDefault="00E32338" w:rsidP="00884E6C">
      <w:pPr>
        <w:jc w:val="center"/>
        <w:rPr>
          <w:b/>
        </w:rPr>
      </w:pPr>
      <w:r w:rsidRPr="00E32338">
        <w:rPr>
          <w:b/>
        </w:rPr>
        <w:t xml:space="preserve">Allowing Anticompetitive Actions by the Committees Violates Antitrust Law Under the U.S. Supreme Court’s </w:t>
      </w:r>
      <w:r w:rsidRPr="00E32338">
        <w:rPr>
          <w:b/>
          <w:i/>
        </w:rPr>
        <w:t>Dental Examiners</w:t>
      </w:r>
      <w:r w:rsidRPr="00E32338">
        <w:rPr>
          <w:b/>
        </w:rPr>
        <w:t xml:space="preserve"> Decision</w:t>
      </w:r>
    </w:p>
    <w:p w:rsidR="00E32338" w:rsidRPr="00E32338" w:rsidRDefault="00E32338" w:rsidP="00E32338">
      <w:r w:rsidRPr="00E32338">
        <w:t xml:space="preserve">The U.S. Supreme Court’s recent decision in </w:t>
      </w:r>
      <w:r w:rsidRPr="00E32338">
        <w:rPr>
          <w:i/>
        </w:rPr>
        <w:t>North Carolina Board of Dental Examiners v. Federal Trade Commission</w:t>
      </w:r>
      <w:r w:rsidRPr="00E32338">
        <w:t xml:space="preserve"> makes clear that when a controlling number of the decision makers on a state licensing board are active participants in the occupation the board regulates, the board can invoke state-action immunity only if it is subject to active supervision by the state.</w:t>
      </w:r>
      <w:r w:rsidRPr="00E32338">
        <w:rPr>
          <w:vertAlign w:val="superscript"/>
        </w:rPr>
        <w:footnoteReference w:id="8"/>
      </w:r>
      <w:r w:rsidRPr="00E32338">
        <w:t xml:space="preserve"> The current structure of the Committees leaves them open to antitrust action, as </w:t>
      </w:r>
      <w:r w:rsidRPr="00E32338">
        <w:rPr>
          <w:i/>
        </w:rPr>
        <w:t>Dental Examiners</w:t>
      </w:r>
      <w:r w:rsidRPr="00E32338">
        <w:t xml:space="preserve"> makes it clear they do not receive state action immunity.</w:t>
      </w:r>
    </w:p>
    <w:p w:rsidR="00E32338" w:rsidRPr="00E32338" w:rsidRDefault="00E32338" w:rsidP="00E32338">
      <w:r w:rsidRPr="00E32338">
        <w:t>The Advisory Committee on Professional Ethics, Committee on Attorney Advertising, and the Committee on the Unauthorized Practice of Law consist of an overwhelming majority of lawyers (versus lay members). Furthermore, those members are selected by lawyers, as it is the Supreme Court of New Jersey that appoints members.</w:t>
      </w:r>
      <w:r w:rsidRPr="00E32338">
        <w:rPr>
          <w:vertAlign w:val="superscript"/>
        </w:rPr>
        <w:footnoteReference w:id="9"/>
      </w:r>
      <w:r w:rsidRPr="00E32338">
        <w:t xml:space="preserve"> Therefore, any action the Committees take with regard to regulation of the legal profession is being made almost entirely by market participants.</w:t>
      </w:r>
    </w:p>
    <w:p w:rsidR="00E32338" w:rsidRPr="00E32338" w:rsidRDefault="00E32338" w:rsidP="00E32338">
      <w:r w:rsidRPr="00E32338">
        <w:t xml:space="preserve">The </w:t>
      </w:r>
      <w:r w:rsidRPr="00E32338">
        <w:rPr>
          <w:i/>
        </w:rPr>
        <w:t xml:space="preserve">Dental Examiners </w:t>
      </w:r>
      <w:r w:rsidRPr="00E32338">
        <w:t>decision allows active market participants to receive state action immunity if their anticompetitive decisions are actively supervised by the state.</w:t>
      </w:r>
      <w:r w:rsidRPr="00E32338">
        <w:rPr>
          <w:vertAlign w:val="superscript"/>
        </w:rPr>
        <w:footnoteReference w:id="10"/>
      </w:r>
      <w:r w:rsidRPr="00E32338">
        <w:t xml:space="preserve"> Active supervision requires that the supervisor must have the power to veto or modify particular decisions to ensure they accord with state policy and that the state supervisor may not itself be an active market participant. </w:t>
      </w:r>
      <w:r w:rsidRPr="00E32338">
        <w:rPr>
          <w:vertAlign w:val="superscript"/>
        </w:rPr>
        <w:footnoteReference w:id="11"/>
      </w:r>
      <w:r w:rsidRPr="00E32338">
        <w:t xml:space="preserve"> In this instance, the active state supervision requirement mandates that the court engage in </w:t>
      </w:r>
      <w:r w:rsidRPr="00E32338">
        <w:rPr>
          <w:i/>
        </w:rPr>
        <w:t>de novo</w:t>
      </w:r>
      <w:r w:rsidRPr="00E32338">
        <w:t xml:space="preserve"> review of the committees’ opinion so as to fully exercise its supervision over the decision made by a body of active market participants. Any deference given to the committees would not fulfill the </w:t>
      </w:r>
      <w:r w:rsidRPr="00E32338">
        <w:rPr>
          <w:i/>
        </w:rPr>
        <w:t>Dental Examiners</w:t>
      </w:r>
      <w:r w:rsidRPr="00E32338">
        <w:t xml:space="preserve"> active supervision requirement because it would fail to demonstrate the committees’ actions promote state policy and not simply their own anticompetitive interests.</w:t>
      </w:r>
      <w:r w:rsidRPr="00E32338">
        <w:rPr>
          <w:vertAlign w:val="superscript"/>
        </w:rPr>
        <w:footnoteReference w:id="12"/>
      </w:r>
    </w:p>
    <w:p w:rsidR="00E32338" w:rsidRPr="00E32338" w:rsidRDefault="00E32338" w:rsidP="00E32338">
      <w:r w:rsidRPr="00E32338">
        <w:t>Furthermore, approval by the Court of anticompetitive ethics opinions by the Committees may be insufficient to protect them from antitrust liability. One of the requirements for active supervision is that “the state supervisor may not itself be an active market participant.”</w:t>
      </w:r>
      <w:r w:rsidRPr="00E32338">
        <w:rPr>
          <w:vertAlign w:val="superscript"/>
        </w:rPr>
        <w:footnoteReference w:id="13"/>
      </w:r>
      <w:r w:rsidRPr="00E32338">
        <w:t xml:space="preserve"> New Jersey Supreme Court Justices are active market participants under the definition established in </w:t>
      </w:r>
      <w:r w:rsidRPr="00E32338">
        <w:rPr>
          <w:i/>
        </w:rPr>
        <w:t>Dental Examiners</w:t>
      </w:r>
      <w:r w:rsidRPr="00E32338">
        <w:t>. Justices are required to have been members of the state bar for at least ten years.</w:t>
      </w:r>
      <w:r w:rsidRPr="00E32338">
        <w:rPr>
          <w:vertAlign w:val="superscript"/>
        </w:rPr>
        <w:footnoteReference w:id="14"/>
      </w:r>
      <w:r w:rsidRPr="00E32338">
        <w:t xml:space="preserve"> Additionally, FTC guidance on active supervision states, “A person who temporarily suspends her active participation in an occupation for the purpose of serving on a state board that regulates her former (and intended future) occupation will be considered to be an active market participant.”</w:t>
      </w:r>
      <w:r w:rsidRPr="00E32338">
        <w:rPr>
          <w:vertAlign w:val="superscript"/>
        </w:rPr>
        <w:footnoteReference w:id="15"/>
      </w:r>
      <w:r w:rsidRPr="00E32338">
        <w:t xml:space="preserve"> New Jersey Justices may return to private practice after serving on the bench, thus rendering them active market participants while serving on the Court. In fact, of the last ten New Jersey Supreme Court Justices to leave the bench, eight returned to private practice.</w:t>
      </w:r>
      <w:r w:rsidRPr="00E32338">
        <w:rPr>
          <w:vertAlign w:val="superscript"/>
        </w:rPr>
        <w:footnoteReference w:id="16"/>
      </w:r>
      <w:r w:rsidRPr="00E32338">
        <w:t xml:space="preserve"> Therefore, a decision by the Court that upholds anticompetitive restrictions does not insulate the Committees from antitrust liability.</w:t>
      </w:r>
    </w:p>
    <w:p w:rsidR="00E32338" w:rsidRPr="00E32338" w:rsidRDefault="00E32338" w:rsidP="00E32338">
      <w:r w:rsidRPr="00E32338">
        <w:t xml:space="preserve">The Court should carefully consider whether any anticompetitive elements of the Joint Opinion are purely in the public interest and that they do not favor existing market participants over new entrants. Additionally, it should apply a </w:t>
      </w:r>
      <w:r w:rsidRPr="00E32338">
        <w:rPr>
          <w:i/>
        </w:rPr>
        <w:t>de novo</w:t>
      </w:r>
      <w:r w:rsidRPr="00E32338">
        <w:t xml:space="preserve"> standard of review to the Committees’ opinion, as undue deference to the bar would leave Committee members subject to antitrust law under the </w:t>
      </w:r>
      <w:r w:rsidRPr="00E32338">
        <w:rPr>
          <w:i/>
        </w:rPr>
        <w:t xml:space="preserve">Dental Examiners </w:t>
      </w:r>
      <w:r w:rsidRPr="00E32338">
        <w:t>decision.</w:t>
      </w:r>
      <w:r w:rsidRPr="00E32338">
        <w:rPr>
          <w:vertAlign w:val="superscript"/>
        </w:rPr>
        <w:footnoteReference w:id="17"/>
      </w:r>
    </w:p>
    <w:p w:rsidR="00E32338" w:rsidRPr="00E32338" w:rsidRDefault="00E32338" w:rsidP="00884E6C">
      <w:pPr>
        <w:jc w:val="center"/>
        <w:rPr>
          <w:b/>
        </w:rPr>
      </w:pPr>
      <w:r w:rsidRPr="00E32338">
        <w:rPr>
          <w:b/>
        </w:rPr>
        <w:t>A Lawyer’s Payment of a Marketing Fee to the ACMS Falls Under the Advertising Exception to the Prohibition on Giving Anything of Value to One Who Recommends the Lawyer’s Services</w:t>
      </w:r>
    </w:p>
    <w:p w:rsidR="00E32338" w:rsidRPr="00E32338" w:rsidRDefault="00E32338" w:rsidP="00E32338">
      <w:r w:rsidRPr="00E32338">
        <w:t>Although a lawyer may not generally pay anyone to recommend the lawyer’s services, RPC 7.2(c) and RPC 7.3(d) provide an exception for the reasonable costs of advertising that is otherwise permissible.</w:t>
      </w:r>
      <w:r w:rsidRPr="00E32338">
        <w:rPr>
          <w:vertAlign w:val="superscript"/>
        </w:rPr>
        <w:footnoteReference w:id="18"/>
      </w:r>
      <w:r w:rsidRPr="00E32338">
        <w:t xml:space="preserve"> For at least the last decade, large parts of the economy have been operating on the Internet (even if lawyers have been slower to do so). As the ability to track potential customers grows, advertisers have been able to move from paying for poorer proxies for business generated (e.g., size of an ad, size of the audience potentially viewing the ad) to paying for better proxies for business generated (e.g., number of people to express interest in an ad by clicking on it) to paying precisely for the business generated by the ad.</w:t>
      </w:r>
    </w:p>
    <w:p w:rsidR="00E32338" w:rsidRPr="00E32338" w:rsidRDefault="00E32338" w:rsidP="00E32338">
      <w:r w:rsidRPr="00E32338">
        <w:t>When looking at cost of advertising, the New Jersey Committee on Attorney Advertising has stated it is reasonable that costs may be based on measurable levels of interest evoked (through Internet ‘clicks’ or ‘hits’).</w:t>
      </w:r>
      <w:r w:rsidRPr="00E32338">
        <w:rPr>
          <w:vertAlign w:val="superscript"/>
        </w:rPr>
        <w:footnoteReference w:id="19"/>
      </w:r>
      <w:r w:rsidRPr="00E32338">
        <w:t xml:space="preserve"> This allows lawyers to pay for advertising based on a closer proxy for the value they derive. Why, though, would the ethics rules allow lawyers to use clicks, but not business generated, to measure “levels of interest evoked” when the latter is a more accurate measure than the former? It is commonplace and reasonable for Internet advertising platforms to charge based on the volume of business generated. Putting aside (until the next paragraph) concerns about sharing fees with non-lawyers, there is nothing about this model of payment that falls outside of the advertising exception to Rule 7.3(b).</w:t>
      </w:r>
    </w:p>
    <w:p w:rsidR="00E32338" w:rsidRPr="00E32338" w:rsidRDefault="00E32338" w:rsidP="00E32338"/>
    <w:p w:rsidR="00E32338" w:rsidRPr="00E32338" w:rsidRDefault="00E32338" w:rsidP="00884E6C">
      <w:pPr>
        <w:jc w:val="center"/>
      </w:pPr>
      <w:r w:rsidRPr="00E32338">
        <w:rPr>
          <w:b/>
        </w:rPr>
        <w:t>Lawyers Participating in the ACMS Would Not Be Engaged in Unethical Fee Splitting with Non-Lawyers</w:t>
      </w:r>
    </w:p>
    <w:p w:rsidR="00E32338" w:rsidRPr="00E32338" w:rsidRDefault="00E32338" w:rsidP="00E32338">
      <w:r w:rsidRPr="00E32338">
        <w:t>The marketing fee charged by the ACMS is not a violation of the Rule 5.4 prohibition on fee splitting. The Committees give multiple reasons why it believes the marketing fee violates Rule 5.4. One, addressed above, is that the marketing fee should not be considered the reasonable cost of advertising. Another, addressed below, is that basing the size of the marketing fee on the dollar value of attorney fees generated is inherently an unethical fee split.</w:t>
      </w:r>
    </w:p>
    <w:p w:rsidR="00E32338" w:rsidRPr="00E32338" w:rsidRDefault="00E32338" w:rsidP="00E32338">
      <w:r w:rsidRPr="00E32338">
        <w:t>Rule 5.4(a)(4) allows lawyers to accept credit cards, even though a credit card company takes a percentage of the fees charged by the lawyer.</w:t>
      </w:r>
      <w:r w:rsidRPr="00E32338">
        <w:rPr>
          <w:vertAlign w:val="superscript"/>
        </w:rPr>
        <w:footnoteReference w:id="20"/>
      </w:r>
      <w:r w:rsidRPr="00E32338">
        <w:t xml:space="preserve"> It doesn’t cost the credit company more to process a charge of $100 than it does to process a charge of $10,000. However, the credit card company is allowed to charge more money for the higher transaction because it exposes itself to a greater loss if the customer doesn’t pay.</w:t>
      </w:r>
    </w:p>
    <w:p w:rsidR="00E32338" w:rsidRPr="00E32338" w:rsidRDefault="00E32338" w:rsidP="00E32338">
      <w:r w:rsidRPr="00E32338">
        <w:t>Similarly, although it doesn’t cost the ACMS more to market and process a $2995 service than a $149 service, it’s a reasonable business practice to charge $400 for the former and $40 for the latter. The ACMS is not only providing marketing services; it’s providing payment collection services as well. The ACMS faces a much greater potential loss if it can’t collect a $2995 fee than if it can’t collect a $149 fee. These costs are undoubtedly reflected in the ACMS’s own credit card processing fees.</w:t>
      </w:r>
    </w:p>
    <w:p w:rsidR="00E32338" w:rsidRPr="00E32338" w:rsidRDefault="00E32338" w:rsidP="00E32338">
      <w:r w:rsidRPr="00E32338">
        <w:t>Perhaps if the ACMS called its fee a “marketing and payment processing fee,” it would better illuminate the actual nature of this transaction. However, regardless of the transaction’s name, the Committees should have looked at the purpose of the transaction when applying the ethics rules. If they did so, they would have seen that the transaction is a permissible fee for service, and not an unethical fee split.</w:t>
      </w:r>
    </w:p>
    <w:p w:rsidR="00E32338" w:rsidRPr="00E32338" w:rsidRDefault="00E32338" w:rsidP="00E32338"/>
    <w:p w:rsidR="00E32338" w:rsidRPr="00E32338" w:rsidRDefault="00E32338" w:rsidP="00884E6C">
      <w:pPr>
        <w:jc w:val="center"/>
      </w:pPr>
      <w:r w:rsidRPr="00E32338">
        <w:rPr>
          <w:b/>
        </w:rPr>
        <w:t>Conclusion</w:t>
      </w:r>
    </w:p>
    <w:p w:rsidR="00E32338" w:rsidRPr="00E32338" w:rsidRDefault="00E32338" w:rsidP="00E32338">
      <w:r w:rsidRPr="00E32338">
        <w:t>Responsive Law is unaware of any consumer complaints against an ACMS—in New Jersey or elsewhere—claiming harm of the types that the Proposed Opinion warns against. Without a demonstration of consumer harm, action by the bar, through the Committees, that restricts new entrants and new means of delivery to the legal services industry looks less like the bar acting as a force for consumer protection and more like the bar acting as a cartel.</w:t>
      </w:r>
    </w:p>
    <w:p w:rsidR="00E32338" w:rsidRPr="00E32338" w:rsidRDefault="00E32338" w:rsidP="00E32338">
      <w:r w:rsidRPr="00E32338">
        <w:t>Beyond protecting the bar from antitrust liability, the Court has a duty to increase access to justice. Innovative business models such as ACMS have the potential to narrow the enormous access to justice gap that consumers face. The Joint Opinion would chill this innovation and others like it, leaving millions of New Jersey residents with fewer ways to find legal help.</w:t>
      </w:r>
    </w:p>
    <w:p w:rsidR="00E32338" w:rsidRDefault="00E32338" w:rsidP="00E32338">
      <w:pPr>
        <w:rPr>
          <w:b/>
        </w:rPr>
      </w:pPr>
      <w:r w:rsidRPr="00E32338">
        <w:rPr>
          <w:b/>
        </w:rPr>
        <w:t>We therefore urge the Court to reverse the decision of the Committees in their Joint Opinion and permit New Jersey lawyers to participate in ACMS.</w:t>
      </w: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2631FA" w:rsidRDefault="002631FA" w:rsidP="00E32338">
      <w:pPr>
        <w:rPr>
          <w:b/>
        </w:rPr>
      </w:pPr>
    </w:p>
    <w:p w:rsidR="00884E6C" w:rsidRDefault="00884E6C" w:rsidP="00E32338">
      <w:pPr>
        <w:rPr>
          <w:b/>
        </w:rPr>
      </w:pPr>
    </w:p>
    <w:p w:rsidR="00884E6C" w:rsidRDefault="00884E6C" w:rsidP="00E32338">
      <w:pPr>
        <w:rPr>
          <w:b/>
        </w:rPr>
      </w:pPr>
    </w:p>
    <w:p w:rsidR="00884E6C" w:rsidRDefault="00884E6C" w:rsidP="00E32338">
      <w:pPr>
        <w:rPr>
          <w:b/>
        </w:rPr>
      </w:pPr>
    </w:p>
    <w:p w:rsidR="00884E6C" w:rsidRDefault="00884E6C" w:rsidP="00E32338">
      <w:pPr>
        <w:rPr>
          <w:b/>
        </w:rPr>
      </w:pPr>
    </w:p>
    <w:p w:rsidR="00884E6C" w:rsidRDefault="00884E6C" w:rsidP="00E32338">
      <w:pPr>
        <w:rPr>
          <w:b/>
        </w:rPr>
      </w:pPr>
    </w:p>
    <w:p w:rsidR="00884E6C" w:rsidRDefault="00884E6C" w:rsidP="00E32338">
      <w:pPr>
        <w:rPr>
          <w:b/>
        </w:rPr>
      </w:pPr>
    </w:p>
    <w:p w:rsidR="002631FA" w:rsidRDefault="002631FA" w:rsidP="00E32338">
      <w:pPr>
        <w:rPr>
          <w:b/>
        </w:rPr>
      </w:pPr>
    </w:p>
    <w:p w:rsidR="002631FA" w:rsidRDefault="002631FA" w:rsidP="002631FA">
      <w:pPr>
        <w:spacing w:after="0" w:line="240" w:lineRule="auto"/>
        <w:ind w:left="0"/>
        <w:rPr>
          <w:b/>
        </w:rPr>
      </w:pPr>
    </w:p>
    <w:p w:rsidR="00884E6C" w:rsidRDefault="00E32338" w:rsidP="002631FA">
      <w:pPr>
        <w:spacing w:after="0" w:line="240" w:lineRule="auto"/>
        <w:ind w:left="0"/>
        <w:jc w:val="center"/>
        <w:rPr>
          <w:rFonts w:cs="Times New Roman"/>
          <w:b/>
          <w:szCs w:val="22"/>
        </w:rPr>
      </w:pPr>
      <w:r w:rsidRPr="00E32338">
        <w:rPr>
          <w:rFonts w:cs="Times New Roman"/>
          <w:b/>
          <w:szCs w:val="22"/>
        </w:rPr>
        <w:t>Table 1: Activity of Recent New Jersey Supreme Court Justices After Leaving the Court</w:t>
      </w:r>
    </w:p>
    <w:p w:rsidR="00884E6C" w:rsidRDefault="00884E6C" w:rsidP="002631FA">
      <w:pPr>
        <w:spacing w:after="0" w:line="240" w:lineRule="auto"/>
        <w:ind w:left="0"/>
        <w:jc w:val="center"/>
        <w:rPr>
          <w:rFonts w:cs="Times New Roman"/>
          <w:b/>
          <w:szCs w:val="22"/>
        </w:rPr>
      </w:pPr>
    </w:p>
    <w:p w:rsidR="00E32338" w:rsidRPr="00E32338" w:rsidRDefault="00E32338" w:rsidP="002631FA">
      <w:pPr>
        <w:spacing w:after="0" w:line="240" w:lineRule="auto"/>
        <w:ind w:left="0"/>
        <w:jc w:val="center"/>
        <w:rPr>
          <w:rFonts w:cs="Times New Roman"/>
          <w:szCs w:val="22"/>
        </w:rPr>
      </w:pPr>
    </w:p>
    <w:tbl>
      <w:tblPr>
        <w:tblpPr w:leftFromText="180" w:rightFromText="180" w:vertAnchor="text" w:tblpY="1"/>
        <w:tblOverlap w:val="never"/>
        <w:tblW w:w="890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tblPr>
      <w:tblGrid>
        <w:gridCol w:w="2359"/>
        <w:gridCol w:w="2177"/>
        <w:gridCol w:w="4368"/>
      </w:tblGrid>
      <w:tr w:rsidR="00E32338" w:rsidRPr="00E32338">
        <w:trPr>
          <w:trHeight w:val="551"/>
        </w:trPr>
        <w:tc>
          <w:tcPr>
            <w:tcW w:w="235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JUSTICE</w:t>
            </w:r>
          </w:p>
        </w:tc>
        <w:tc>
          <w:tcPr>
            <w:tcW w:w="217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LEFT OFFICE</w:t>
            </w:r>
          </w:p>
        </w:tc>
        <w:tc>
          <w:tcPr>
            <w:tcW w:w="436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ACTIVITY AFTER LEAVING COURT</w:t>
            </w:r>
          </w:p>
        </w:tc>
      </w:tr>
      <w:tr w:rsidR="00E32338" w:rsidRPr="00E32338">
        <w:trPr>
          <w:trHeight w:val="399"/>
        </w:trPr>
        <w:tc>
          <w:tcPr>
            <w:tcW w:w="235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5E1503" w:rsidP="003A6245">
            <w:pPr>
              <w:ind w:left="0"/>
              <w:rPr>
                <w:rFonts w:cs="Times New Roman"/>
                <w:szCs w:val="22"/>
              </w:rPr>
            </w:pPr>
            <w:hyperlink r:id="rId8">
              <w:r w:rsidR="00E32338" w:rsidRPr="00E32338">
                <w:rPr>
                  <w:rStyle w:val="Hyperlink"/>
                  <w:rFonts w:cs="Times New Roman"/>
                  <w:szCs w:val="22"/>
                </w:rPr>
                <w:t xml:space="preserve">Helen E. </w:t>
              </w:r>
              <w:proofErr w:type="spellStart"/>
              <w:r w:rsidR="00E32338" w:rsidRPr="00E32338">
                <w:rPr>
                  <w:rStyle w:val="Hyperlink"/>
                  <w:rFonts w:cs="Times New Roman"/>
                  <w:szCs w:val="22"/>
                </w:rPr>
                <w:t>Hoens</w:t>
              </w:r>
              <w:proofErr w:type="spellEnd"/>
            </w:hyperlink>
          </w:p>
        </w:tc>
        <w:tc>
          <w:tcPr>
            <w:tcW w:w="217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October 26, 2013</w:t>
            </w:r>
          </w:p>
        </w:tc>
        <w:tc>
          <w:tcPr>
            <w:tcW w:w="436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tcPr>
          <w:p w:rsidR="00E32338" w:rsidRPr="00E32338" w:rsidRDefault="00E32338" w:rsidP="003A6245">
            <w:pPr>
              <w:ind w:left="0"/>
              <w:rPr>
                <w:rFonts w:cs="Times New Roman"/>
                <w:szCs w:val="22"/>
                <w:vertAlign w:val="superscript"/>
              </w:rPr>
            </w:pPr>
            <w:r w:rsidRPr="00E32338">
              <w:rPr>
                <w:rFonts w:cs="Times New Roman"/>
                <w:szCs w:val="22"/>
              </w:rPr>
              <w:t xml:space="preserve">-Retired </w:t>
            </w:r>
            <w:r w:rsidRPr="00E32338">
              <w:rPr>
                <w:rFonts w:cs="Times New Roman"/>
                <w:szCs w:val="22"/>
                <w:vertAlign w:val="superscript"/>
              </w:rPr>
              <w:t>1</w:t>
            </w:r>
          </w:p>
        </w:tc>
      </w:tr>
      <w:tr w:rsidR="00E32338" w:rsidRPr="00E32338">
        <w:trPr>
          <w:trHeight w:val="713"/>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Virginia Long</w:t>
            </w:r>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March 1, 2012</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spacing w:after="0"/>
              <w:ind w:left="0"/>
              <w:rPr>
                <w:rFonts w:cs="Times New Roman"/>
                <w:szCs w:val="22"/>
                <w:vertAlign w:val="superscript"/>
              </w:rPr>
            </w:pPr>
            <w:r w:rsidRPr="00E32338">
              <w:rPr>
                <w:rFonts w:cs="Times New Roman"/>
                <w:szCs w:val="22"/>
              </w:rPr>
              <w:t xml:space="preserve">-Counsel in </w:t>
            </w:r>
            <w:proofErr w:type="spellStart"/>
            <w:r w:rsidRPr="00E32338">
              <w:rPr>
                <w:rFonts w:cs="Times New Roman"/>
                <w:szCs w:val="22"/>
              </w:rPr>
              <w:t>Pinceton</w:t>
            </w:r>
            <w:proofErr w:type="spellEnd"/>
            <w:r w:rsidRPr="00E32338">
              <w:rPr>
                <w:rFonts w:cs="Times New Roman"/>
                <w:szCs w:val="22"/>
              </w:rPr>
              <w:t xml:space="preserve"> office of Fox </w:t>
            </w:r>
            <w:proofErr w:type="spellStart"/>
            <w:r w:rsidRPr="00E32338">
              <w:rPr>
                <w:rFonts w:cs="Times New Roman"/>
                <w:szCs w:val="22"/>
              </w:rPr>
              <w:t>Rothchild</w:t>
            </w:r>
            <w:proofErr w:type="spellEnd"/>
            <w:r w:rsidRPr="00E32338">
              <w:rPr>
                <w:rFonts w:cs="Times New Roman"/>
                <w:szCs w:val="22"/>
              </w:rPr>
              <w:t xml:space="preserve"> LLP </w:t>
            </w:r>
            <w:r w:rsidRPr="00E32338">
              <w:rPr>
                <w:rFonts w:cs="Times New Roman"/>
                <w:szCs w:val="22"/>
                <w:vertAlign w:val="superscript"/>
              </w:rPr>
              <w:t>2</w:t>
            </w:r>
          </w:p>
        </w:tc>
      </w:tr>
      <w:tr w:rsidR="00E32338" w:rsidRPr="00E32338">
        <w:trPr>
          <w:trHeight w:val="692"/>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9">
              <w:r w:rsidR="00E32338" w:rsidRPr="00E32338">
                <w:rPr>
                  <w:rStyle w:val="Hyperlink"/>
                  <w:rFonts w:cs="Times New Roman"/>
                  <w:szCs w:val="22"/>
                </w:rPr>
                <w:t>Roberto A. Rivera-Soto</w:t>
              </w:r>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August 21, 2011</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vertAlign w:val="superscript"/>
              </w:rPr>
            </w:pPr>
            <w:r w:rsidRPr="00E32338">
              <w:rPr>
                <w:rFonts w:cs="Times New Roman"/>
                <w:szCs w:val="22"/>
              </w:rPr>
              <w:t xml:space="preserve">-Partner at Ballard </w:t>
            </w:r>
            <w:proofErr w:type="spellStart"/>
            <w:r w:rsidRPr="00E32338">
              <w:rPr>
                <w:rFonts w:cs="Times New Roman"/>
                <w:szCs w:val="22"/>
              </w:rPr>
              <w:t>Spahr</w:t>
            </w:r>
            <w:proofErr w:type="spellEnd"/>
            <w:r w:rsidRPr="00E32338">
              <w:rPr>
                <w:rFonts w:cs="Times New Roman"/>
                <w:szCs w:val="22"/>
              </w:rPr>
              <w:t xml:space="preserve">, LLP </w:t>
            </w:r>
            <w:r w:rsidRPr="00E32338">
              <w:rPr>
                <w:rFonts w:cs="Times New Roman"/>
                <w:szCs w:val="22"/>
                <w:vertAlign w:val="superscript"/>
              </w:rPr>
              <w:t>3</w:t>
            </w:r>
          </w:p>
        </w:tc>
      </w:tr>
      <w:tr w:rsidR="00E32338" w:rsidRPr="00E32338">
        <w:trPr>
          <w:trHeight w:val="673"/>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0">
              <w:r w:rsidR="00E32338" w:rsidRPr="00E32338">
                <w:rPr>
                  <w:rStyle w:val="Hyperlink"/>
                  <w:rFonts w:cs="Times New Roman"/>
                  <w:szCs w:val="22"/>
                </w:rPr>
                <w:t>John E. Wallace Jr.</w:t>
              </w:r>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May 10, 2010</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 xml:space="preserve">-Of Counsel w/ Brown &amp; Connery, LLP </w:t>
            </w:r>
            <w:r w:rsidRPr="00E32338">
              <w:rPr>
                <w:rFonts w:cs="Times New Roman"/>
                <w:szCs w:val="22"/>
                <w:vertAlign w:val="superscript"/>
              </w:rPr>
              <w:t>4</w:t>
            </w:r>
          </w:p>
        </w:tc>
      </w:tr>
      <w:tr w:rsidR="00E32338" w:rsidRPr="00E32338">
        <w:trPr>
          <w:trHeight w:val="411"/>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1">
              <w:r w:rsidR="00E32338" w:rsidRPr="00E32338">
                <w:rPr>
                  <w:rStyle w:val="Hyperlink"/>
                  <w:rFonts w:cs="Times New Roman"/>
                  <w:szCs w:val="22"/>
                </w:rPr>
                <w:t xml:space="preserve">James R. </w:t>
              </w:r>
              <w:proofErr w:type="spellStart"/>
              <w:r w:rsidR="00E32338" w:rsidRPr="00E32338">
                <w:rPr>
                  <w:rStyle w:val="Hyperlink"/>
                  <w:rFonts w:cs="Times New Roman"/>
                  <w:szCs w:val="22"/>
                </w:rPr>
                <w:t>Zazzali</w:t>
              </w:r>
              <w:proofErr w:type="spellEnd"/>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January 6, 2007</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 xml:space="preserve">-Private Practice with Gibbons Law </w:t>
            </w:r>
            <w:r w:rsidRPr="00E32338">
              <w:rPr>
                <w:rFonts w:cs="Times New Roman"/>
                <w:szCs w:val="22"/>
                <w:vertAlign w:val="superscript"/>
              </w:rPr>
              <w:t>5</w:t>
            </w:r>
          </w:p>
        </w:tc>
      </w:tr>
      <w:tr w:rsidR="00E32338" w:rsidRPr="00E32338">
        <w:trPr>
          <w:trHeight w:val="411"/>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2">
              <w:r w:rsidR="00E32338" w:rsidRPr="00E32338">
                <w:rPr>
                  <w:rStyle w:val="Hyperlink"/>
                  <w:rFonts w:cs="Times New Roman"/>
                  <w:szCs w:val="22"/>
                </w:rPr>
                <w:t xml:space="preserve">Deborah T. </w:t>
              </w:r>
              <w:proofErr w:type="spellStart"/>
              <w:r w:rsidR="00E32338" w:rsidRPr="00E32338">
                <w:rPr>
                  <w:rStyle w:val="Hyperlink"/>
                  <w:rFonts w:cs="Times New Roman"/>
                  <w:szCs w:val="22"/>
                </w:rPr>
                <w:t>Poritz</w:t>
              </w:r>
              <w:proofErr w:type="spellEnd"/>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October 25, 2006</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vertAlign w:val="superscript"/>
              </w:rPr>
            </w:pPr>
            <w:r w:rsidRPr="00E32338">
              <w:rPr>
                <w:rFonts w:cs="Times New Roman"/>
                <w:szCs w:val="22"/>
              </w:rPr>
              <w:t xml:space="preserve">-Of Counsel with </w:t>
            </w:r>
            <w:proofErr w:type="spellStart"/>
            <w:r w:rsidRPr="00E32338">
              <w:rPr>
                <w:rFonts w:cs="Times New Roman"/>
                <w:szCs w:val="22"/>
              </w:rPr>
              <w:t>DrinkerBiddle</w:t>
            </w:r>
            <w:proofErr w:type="spellEnd"/>
            <w:r w:rsidRPr="00E32338">
              <w:rPr>
                <w:rFonts w:cs="Times New Roman"/>
                <w:szCs w:val="22"/>
              </w:rPr>
              <w:t xml:space="preserve"> </w:t>
            </w:r>
            <w:r w:rsidRPr="00E32338">
              <w:rPr>
                <w:rFonts w:cs="Times New Roman"/>
                <w:szCs w:val="22"/>
                <w:vertAlign w:val="superscript"/>
              </w:rPr>
              <w:t>6</w:t>
            </w:r>
          </w:p>
        </w:tc>
      </w:tr>
      <w:tr w:rsidR="00E32338" w:rsidRPr="00E32338">
        <w:trPr>
          <w:trHeight w:val="1230"/>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3">
              <w:r w:rsidR="00E32338" w:rsidRPr="00E32338">
                <w:rPr>
                  <w:rStyle w:val="Hyperlink"/>
                  <w:rFonts w:cs="Times New Roman"/>
                  <w:szCs w:val="22"/>
                </w:rPr>
                <w:t xml:space="preserve">Peter </w:t>
              </w:r>
              <w:proofErr w:type="spellStart"/>
              <w:r w:rsidR="00E32338" w:rsidRPr="00E32338">
                <w:rPr>
                  <w:rStyle w:val="Hyperlink"/>
                  <w:rFonts w:cs="Times New Roman"/>
                  <w:szCs w:val="22"/>
                </w:rPr>
                <w:t>Verniero</w:t>
              </w:r>
              <w:proofErr w:type="spellEnd"/>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August 2004</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spacing w:after="0"/>
              <w:ind w:left="0"/>
              <w:rPr>
                <w:rFonts w:cs="Times New Roman"/>
                <w:szCs w:val="22"/>
                <w:vertAlign w:val="superscript"/>
              </w:rPr>
            </w:pPr>
            <w:r w:rsidRPr="00E32338">
              <w:rPr>
                <w:rFonts w:cs="Times New Roman"/>
                <w:szCs w:val="22"/>
              </w:rPr>
              <w:t xml:space="preserve">-Chair of Corporate Internal Investigations and Appellate Practice Groups w/ Sills Cummins &amp; Gross </w:t>
            </w:r>
            <w:r w:rsidRPr="00E32338">
              <w:rPr>
                <w:rFonts w:cs="Times New Roman"/>
                <w:szCs w:val="22"/>
                <w:vertAlign w:val="superscript"/>
              </w:rPr>
              <w:t>7</w:t>
            </w:r>
          </w:p>
        </w:tc>
      </w:tr>
      <w:tr w:rsidR="00E32338" w:rsidRPr="00E32338">
        <w:trPr>
          <w:trHeight w:val="1085"/>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4">
              <w:r w:rsidR="00E32338" w:rsidRPr="00E32338">
                <w:rPr>
                  <w:rStyle w:val="Hyperlink"/>
                  <w:rFonts w:cs="Times New Roman"/>
                  <w:szCs w:val="22"/>
                </w:rPr>
                <w:t>Gary S. Stein</w:t>
              </w:r>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September 1, 2002</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spacing w:after="0"/>
              <w:ind w:left="0"/>
              <w:rPr>
                <w:rFonts w:cs="Times New Roman"/>
                <w:szCs w:val="22"/>
              </w:rPr>
            </w:pPr>
            <w:r w:rsidRPr="00E32338">
              <w:rPr>
                <w:rFonts w:cs="Times New Roman"/>
                <w:szCs w:val="22"/>
              </w:rPr>
              <w:t xml:space="preserve">-Special Counsel to </w:t>
            </w:r>
            <w:proofErr w:type="spellStart"/>
            <w:r w:rsidRPr="00E32338">
              <w:rPr>
                <w:rFonts w:cs="Times New Roman"/>
                <w:szCs w:val="22"/>
              </w:rPr>
              <w:t>Pashman</w:t>
            </w:r>
            <w:proofErr w:type="spellEnd"/>
            <w:r w:rsidRPr="00E32338">
              <w:rPr>
                <w:rFonts w:cs="Times New Roman"/>
                <w:szCs w:val="22"/>
              </w:rPr>
              <w:t xml:space="preserve"> Stein. </w:t>
            </w:r>
          </w:p>
          <w:p w:rsidR="00E32338" w:rsidRPr="00E32338" w:rsidRDefault="00E32338" w:rsidP="003A6245">
            <w:pPr>
              <w:spacing w:after="0"/>
              <w:ind w:left="0"/>
              <w:rPr>
                <w:rFonts w:cs="Times New Roman"/>
                <w:szCs w:val="22"/>
              </w:rPr>
            </w:pPr>
            <w:r w:rsidRPr="00E32338">
              <w:rPr>
                <w:rFonts w:cs="Times New Roman"/>
                <w:szCs w:val="22"/>
              </w:rPr>
              <w:t xml:space="preserve">-Adjunct professor at Rutgers Law School </w:t>
            </w:r>
            <w:r w:rsidRPr="00E32338">
              <w:rPr>
                <w:rFonts w:cs="Times New Roman"/>
                <w:szCs w:val="22"/>
                <w:vertAlign w:val="superscript"/>
              </w:rPr>
              <w:t>8</w:t>
            </w:r>
          </w:p>
        </w:tc>
      </w:tr>
      <w:tr w:rsidR="00E32338" w:rsidRPr="00E32338">
        <w:trPr>
          <w:trHeight w:val="575"/>
        </w:trPr>
        <w:tc>
          <w:tcPr>
            <w:tcW w:w="2359"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5E1503" w:rsidP="003A6245">
            <w:pPr>
              <w:ind w:left="0"/>
              <w:rPr>
                <w:rFonts w:cs="Times New Roman"/>
                <w:szCs w:val="22"/>
              </w:rPr>
            </w:pPr>
            <w:hyperlink r:id="rId15">
              <w:r w:rsidR="00E32338" w:rsidRPr="00E32338">
                <w:rPr>
                  <w:rStyle w:val="Hyperlink"/>
                  <w:rFonts w:cs="Times New Roman"/>
                  <w:szCs w:val="22"/>
                </w:rPr>
                <w:t xml:space="preserve">Daniel J. </w:t>
              </w:r>
              <w:proofErr w:type="spellStart"/>
              <w:r w:rsidR="00E32338" w:rsidRPr="00E32338">
                <w:rPr>
                  <w:rStyle w:val="Hyperlink"/>
                  <w:rFonts w:cs="Times New Roman"/>
                  <w:szCs w:val="22"/>
                </w:rPr>
                <w:t>O’Hern</w:t>
              </w:r>
              <w:proofErr w:type="spellEnd"/>
            </w:hyperlink>
          </w:p>
        </w:tc>
        <w:tc>
          <w:tcPr>
            <w:tcW w:w="2177"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May 23, 2000</w:t>
            </w:r>
          </w:p>
        </w:tc>
        <w:tc>
          <w:tcPr>
            <w:tcW w:w="436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Mar>
              <w:top w:w="40" w:type="dxa"/>
              <w:left w:w="80" w:type="dxa"/>
              <w:bottom w:w="40" w:type="dxa"/>
              <w:right w:w="80" w:type="dxa"/>
            </w:tcMar>
          </w:tcPr>
          <w:p w:rsidR="00E32338" w:rsidRPr="00E32338" w:rsidRDefault="00E32338" w:rsidP="003A6245">
            <w:pPr>
              <w:spacing w:after="0"/>
              <w:ind w:left="0"/>
              <w:rPr>
                <w:rFonts w:cs="Times New Roman"/>
                <w:szCs w:val="22"/>
                <w:vertAlign w:val="superscript"/>
              </w:rPr>
            </w:pPr>
            <w:r w:rsidRPr="00E32338">
              <w:rPr>
                <w:rFonts w:cs="Times New Roman"/>
                <w:szCs w:val="22"/>
              </w:rPr>
              <w:t xml:space="preserve">-Special Ethics Counsel to Governor Richard Codey </w:t>
            </w:r>
            <w:r w:rsidRPr="00E32338">
              <w:rPr>
                <w:rFonts w:cs="Times New Roman"/>
                <w:szCs w:val="22"/>
                <w:vertAlign w:val="superscript"/>
              </w:rPr>
              <w:t>9</w:t>
            </w:r>
          </w:p>
          <w:p w:rsidR="00E32338" w:rsidRPr="00E32338" w:rsidRDefault="00E32338" w:rsidP="003A6245">
            <w:pPr>
              <w:spacing w:after="0"/>
              <w:ind w:left="0"/>
              <w:rPr>
                <w:rFonts w:cs="Times New Roman"/>
                <w:szCs w:val="22"/>
                <w:vertAlign w:val="superscript"/>
              </w:rPr>
            </w:pPr>
            <w:r w:rsidRPr="00E32338">
              <w:rPr>
                <w:rFonts w:cs="Times New Roman"/>
                <w:szCs w:val="22"/>
              </w:rPr>
              <w:t>-NJ Advisory Committee on Judicial Conduct</w:t>
            </w:r>
            <w:r w:rsidRPr="00E32338">
              <w:rPr>
                <w:rFonts w:cs="Times New Roman"/>
                <w:szCs w:val="22"/>
                <w:vertAlign w:val="superscript"/>
              </w:rPr>
              <w:t xml:space="preserve"> 9</w:t>
            </w:r>
          </w:p>
          <w:p w:rsidR="00E32338" w:rsidRPr="00E32338" w:rsidRDefault="00E32338" w:rsidP="003A6245">
            <w:pPr>
              <w:spacing w:after="0"/>
              <w:ind w:left="0"/>
              <w:rPr>
                <w:rFonts w:cs="Times New Roman"/>
                <w:szCs w:val="22"/>
                <w:vertAlign w:val="superscript"/>
              </w:rPr>
            </w:pPr>
            <w:r w:rsidRPr="00E32338">
              <w:rPr>
                <w:rFonts w:cs="Times New Roman"/>
                <w:szCs w:val="22"/>
              </w:rPr>
              <w:t xml:space="preserve">-Editorial Board of NJ Law Journal </w:t>
            </w:r>
            <w:r w:rsidRPr="00E32338">
              <w:rPr>
                <w:rFonts w:cs="Times New Roman"/>
                <w:szCs w:val="22"/>
                <w:vertAlign w:val="superscript"/>
              </w:rPr>
              <w:t>9</w:t>
            </w:r>
          </w:p>
          <w:p w:rsidR="00E32338" w:rsidRPr="00E32338" w:rsidRDefault="00E32338" w:rsidP="003A6245">
            <w:pPr>
              <w:spacing w:after="0"/>
              <w:ind w:left="0"/>
              <w:rPr>
                <w:rFonts w:cs="Times New Roman"/>
                <w:szCs w:val="22"/>
                <w:vertAlign w:val="superscript"/>
              </w:rPr>
            </w:pPr>
            <w:r w:rsidRPr="00E32338">
              <w:rPr>
                <w:rFonts w:cs="Times New Roman"/>
                <w:szCs w:val="22"/>
              </w:rPr>
              <w:t xml:space="preserve">-As Counsel to Becker </w:t>
            </w:r>
            <w:proofErr w:type="spellStart"/>
            <w:r w:rsidRPr="00E32338">
              <w:rPr>
                <w:rFonts w:cs="Times New Roman"/>
                <w:szCs w:val="22"/>
              </w:rPr>
              <w:t>Meisel</w:t>
            </w:r>
            <w:proofErr w:type="spellEnd"/>
            <w:r w:rsidRPr="00E32338">
              <w:rPr>
                <w:rFonts w:cs="Times New Roman"/>
                <w:szCs w:val="22"/>
              </w:rPr>
              <w:t xml:space="preserve">, LLC </w:t>
            </w:r>
            <w:r w:rsidRPr="00E32338">
              <w:rPr>
                <w:rFonts w:cs="Times New Roman"/>
                <w:szCs w:val="22"/>
                <w:vertAlign w:val="superscript"/>
              </w:rPr>
              <w:t>9</w:t>
            </w:r>
          </w:p>
        </w:tc>
      </w:tr>
      <w:tr w:rsidR="00E32338" w:rsidRPr="00E32338">
        <w:trPr>
          <w:trHeight w:val="411"/>
        </w:trPr>
        <w:tc>
          <w:tcPr>
            <w:tcW w:w="235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E32338" w:rsidRPr="00E32338" w:rsidRDefault="005E1503" w:rsidP="003A6245">
            <w:pPr>
              <w:ind w:left="0"/>
              <w:rPr>
                <w:rFonts w:cs="Times New Roman"/>
                <w:szCs w:val="22"/>
              </w:rPr>
            </w:pPr>
            <w:hyperlink r:id="rId16">
              <w:r w:rsidR="00E32338" w:rsidRPr="00E32338">
                <w:rPr>
                  <w:rStyle w:val="Hyperlink"/>
                  <w:rFonts w:cs="Times New Roman"/>
                  <w:szCs w:val="22"/>
                </w:rPr>
                <w:t>Marie L. Garibaldi</w:t>
              </w:r>
            </w:hyperlink>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E32338" w:rsidRPr="00E32338" w:rsidRDefault="00E32338" w:rsidP="003A6245">
            <w:pPr>
              <w:ind w:left="0"/>
              <w:rPr>
                <w:rFonts w:cs="Times New Roman"/>
                <w:szCs w:val="22"/>
              </w:rPr>
            </w:pPr>
            <w:r w:rsidRPr="00E32338">
              <w:rPr>
                <w:rFonts w:cs="Times New Roman"/>
                <w:szCs w:val="22"/>
              </w:rPr>
              <w:t>February 1, 2000</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E32338" w:rsidRPr="00E32338" w:rsidRDefault="00E32338" w:rsidP="003A6245">
            <w:pPr>
              <w:ind w:left="0"/>
              <w:rPr>
                <w:rFonts w:cs="Times New Roman"/>
                <w:szCs w:val="22"/>
                <w:vertAlign w:val="superscript"/>
              </w:rPr>
            </w:pPr>
            <w:r w:rsidRPr="00E32338">
              <w:rPr>
                <w:rFonts w:cs="Times New Roman"/>
                <w:szCs w:val="22"/>
              </w:rPr>
              <w:t xml:space="preserve">-Retired </w:t>
            </w:r>
            <w:r w:rsidRPr="00E32338">
              <w:rPr>
                <w:rFonts w:cs="Times New Roman"/>
                <w:szCs w:val="22"/>
                <w:vertAlign w:val="superscript"/>
              </w:rPr>
              <w:t>10</w:t>
            </w:r>
          </w:p>
        </w:tc>
      </w:tr>
    </w:tbl>
    <w:p w:rsidR="00E32338" w:rsidRDefault="00E32338" w:rsidP="001151CB">
      <w:pPr>
        <w:tabs>
          <w:tab w:val="left" w:pos="4653"/>
        </w:tabs>
        <w:ind w:left="0"/>
        <w:rPr>
          <w:szCs w:val="22"/>
        </w:rPr>
      </w:pPr>
    </w:p>
    <w:p w:rsidR="001151CB" w:rsidRPr="00B31624" w:rsidRDefault="001151CB" w:rsidP="001151CB">
      <w:pPr>
        <w:pStyle w:val="Normal1"/>
        <w:ind w:left="2160"/>
        <w:rPr>
          <w:rFonts w:asciiTheme="minorHAnsi" w:hAnsiTheme="minorHAnsi"/>
          <w:szCs w:val="22"/>
        </w:rPr>
      </w:pPr>
      <w:r w:rsidRPr="00B31624">
        <w:rPr>
          <w:rFonts w:asciiTheme="minorHAnsi" w:eastAsia="Times New Roman" w:hAnsiTheme="minorHAnsi" w:cs="Times New Roman"/>
          <w:szCs w:val="22"/>
          <w:u w:val="single"/>
        </w:rPr>
        <w:t>Key</w:t>
      </w:r>
    </w:p>
    <w:p w:rsidR="001151CB" w:rsidRPr="00B31624" w:rsidRDefault="001151CB" w:rsidP="00B31624">
      <w:pPr>
        <w:pStyle w:val="Normal1"/>
        <w:ind w:left="2160"/>
        <w:rPr>
          <w:rFonts w:asciiTheme="minorHAnsi" w:hAnsiTheme="minorHAnsi"/>
          <w:szCs w:val="22"/>
        </w:rPr>
      </w:pPr>
      <w:r w:rsidRPr="00B31624">
        <w:rPr>
          <w:rFonts w:asciiTheme="minorHAnsi" w:eastAsia="Times New Roman" w:hAnsiTheme="minorHAnsi" w:cs="Times New Roman"/>
          <w:szCs w:val="22"/>
          <w:shd w:val="clear" w:color="auto" w:fill="B2A1C7" w:themeFill="accent4" w:themeFillTint="99"/>
        </w:rPr>
        <w:t xml:space="preserve">     </w:t>
      </w:r>
      <w:r w:rsidRPr="00B31624">
        <w:rPr>
          <w:rFonts w:asciiTheme="minorHAnsi" w:eastAsia="Times New Roman" w:hAnsiTheme="minorHAnsi" w:cs="Times New Roman"/>
          <w:szCs w:val="22"/>
        </w:rPr>
        <w:t xml:space="preserve"> Shading indic</w:t>
      </w:r>
      <w:r w:rsidR="00B31624">
        <w:rPr>
          <w:rFonts w:asciiTheme="minorHAnsi" w:eastAsia="Times New Roman" w:hAnsiTheme="minorHAnsi" w:cs="Times New Roman"/>
          <w:szCs w:val="22"/>
        </w:rPr>
        <w:t xml:space="preserve">ates return to private practice. </w:t>
      </w:r>
      <w:bookmarkStart w:id="0" w:name="_GoBack"/>
      <w:bookmarkEnd w:id="0"/>
    </w:p>
    <w:sectPr w:rsidR="001151CB" w:rsidRPr="00B31624" w:rsidSect="00343C8C">
      <w:headerReference w:type="default" r:id="rId17"/>
      <w:footerReference w:type="even" r:id="rId18"/>
      <w:footerReference w:type="default" r:id="rId19"/>
      <w:headerReference w:type="first" r:id="rId20"/>
      <w:footerReference w:type="first" r:id="rId21"/>
      <w:pgSz w:w="12240" w:h="15840" w:code="1"/>
      <w:pgMar w:top="1620" w:right="1800" w:bottom="1440" w:left="1800" w:header="630" w:footer="57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08" w:rsidRDefault="00F70708" w:rsidP="00065CBC">
      <w:r>
        <w:separator/>
      </w:r>
    </w:p>
  </w:endnote>
  <w:endnote w:type="continuationSeparator" w:id="0">
    <w:p w:rsidR="00F70708" w:rsidRDefault="00F70708" w:rsidP="00065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00300000000000000"/>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C7" w:rsidRDefault="00921FC7" w:rsidP="00855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FC7" w:rsidRDefault="00921FC7" w:rsidP="00921F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C7" w:rsidRDefault="00921FC7" w:rsidP="00855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919AD" w:rsidRDefault="00A919AD" w:rsidP="00921FC7">
    <w:pPr>
      <w:pStyle w:val="Footer"/>
      <w:ind w:right="360" w:hanging="288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D" w:rsidRPr="00487302" w:rsidRDefault="00A919AD" w:rsidP="00AE3920">
    <w:pPr>
      <w:pStyle w:val="Footer"/>
      <w:ind w:left="-720"/>
      <w:rPr>
        <w:sz w:val="18"/>
        <w:szCs w:val="18"/>
      </w:rPr>
    </w:pPr>
    <w:r w:rsidRPr="00487302">
      <w:rPr>
        <w:sz w:val="18"/>
        <w:szCs w:val="18"/>
      </w:rPr>
      <w:t>1380 Monroe St NW, #210</w:t>
    </w:r>
    <w:r w:rsidRPr="00487302">
      <w:rPr>
        <w:sz w:val="18"/>
        <w:szCs w:val="18"/>
      </w:rPr>
      <w:br/>
      <w:t>Washington, D.C.  20010</w:t>
    </w:r>
    <w:r w:rsidRPr="00487302">
      <w:rPr>
        <w:sz w:val="18"/>
        <w:szCs w:val="18"/>
      </w:rPr>
      <w:br/>
      <w:t>tom@responsivelaw.org</w:t>
    </w:r>
    <w:r w:rsidRPr="00487302">
      <w:rPr>
        <w:sz w:val="18"/>
        <w:szCs w:val="18"/>
      </w:rPr>
      <w:br/>
      <w:t>(202) 649-0399</w:t>
    </w:r>
  </w:p>
  <w:p w:rsidR="00A919AD" w:rsidRPr="0063481A" w:rsidRDefault="00A919AD" w:rsidP="0063481A">
    <w:pPr>
      <w:pStyle w:val="Footer"/>
      <w:ind w:left="-720"/>
      <w:rPr>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08" w:rsidRDefault="00F70708" w:rsidP="00065CBC">
      <w:r>
        <w:separator/>
      </w:r>
    </w:p>
  </w:footnote>
  <w:footnote w:type="continuationSeparator" w:id="0">
    <w:p w:rsidR="00F70708" w:rsidRDefault="00F70708" w:rsidP="00065CBC">
      <w:r>
        <w:continuationSeparator/>
      </w:r>
    </w:p>
  </w:footnote>
  <w:footnote w:id="1">
    <w:p w:rsidR="000D6A8C" w:rsidRDefault="000D6A8C">
      <w:pPr>
        <w:pStyle w:val="FootnoteText"/>
      </w:pPr>
      <w:r>
        <w:rPr>
          <w:rStyle w:val="FootnoteReference"/>
        </w:rPr>
        <w:t>*</w:t>
      </w:r>
      <w:r>
        <w:t xml:space="preserve"> These comments were submitted as an appellate brief to the New Jersey Supreme Court. They have been edited for format and to remove accompanying legal filings. The content is identical to the substantive section of the brief.</w:t>
      </w:r>
    </w:p>
  </w:footnote>
  <w:footnote w:id="2">
    <w:p w:rsidR="00E32338" w:rsidRDefault="00E32338" w:rsidP="002631FA">
      <w:pPr>
        <w:pStyle w:val="FootnoteText"/>
      </w:pPr>
      <w:r w:rsidRPr="00E32338">
        <w:rPr>
          <w:i/>
          <w:iCs/>
          <w:szCs w:val="20"/>
          <w:vertAlign w:val="superscript"/>
        </w:rPr>
        <w:t>1</w:t>
      </w:r>
      <w:r>
        <w:rPr>
          <w:i/>
        </w:rPr>
        <w:t xml:space="preserve"> </w:t>
      </w:r>
      <w:r w:rsidRPr="00BC4048">
        <w:rPr>
          <w:i/>
        </w:rPr>
        <w:t>North Carolina State Bd. of Dental Examiners v. FTC</w:t>
      </w:r>
      <w:r>
        <w:t>, 574 U.S. ___,</w:t>
      </w:r>
      <w:r w:rsidRPr="0092396B">
        <w:t xml:space="preserve"> 135 S. Ct. 1101 (2015)</w:t>
      </w:r>
      <w:r>
        <w:t>.</w:t>
      </w:r>
    </w:p>
  </w:footnote>
  <w:footnote w:id="3">
    <w:p w:rsidR="00E32338" w:rsidRDefault="00E32338" w:rsidP="002631FA">
      <w:pPr>
        <w:pStyle w:val="FootnoteText"/>
      </w:pPr>
      <w:r>
        <w:rPr>
          <w:rStyle w:val="FootnoteReference"/>
        </w:rPr>
        <w:footnoteRef/>
      </w:r>
      <w:r>
        <w:t xml:space="preserve"> World Justice Project Rule of Law Index, </w:t>
      </w:r>
      <w:r w:rsidRPr="006A21F7">
        <w:t>https://worldjusticeproject.org/</w:t>
      </w:r>
      <w:r>
        <w:t xml:space="preserve"> </w:t>
      </w:r>
      <w:r w:rsidRPr="006A21F7">
        <w:t>our-work/wjp-rule-law-index/wjp-rule-law-index-2016</w:t>
      </w:r>
      <w:r>
        <w:t xml:space="preserve"> (2016).</w:t>
      </w:r>
    </w:p>
  </w:footnote>
  <w:footnote w:id="4">
    <w:p w:rsidR="00E32338" w:rsidRDefault="00E32338" w:rsidP="002631FA">
      <w:pPr>
        <w:pStyle w:val="FootnoteText"/>
      </w:pPr>
      <w:r>
        <w:rPr>
          <w:rStyle w:val="FootnoteReference"/>
        </w:rPr>
        <w:footnoteRef/>
      </w:r>
      <w:r>
        <w:t xml:space="preserve"> </w:t>
      </w:r>
      <w:r w:rsidRPr="008C1FEF">
        <w:t>Deborah L. Rhode, Access to Justice (2005); Gillian K. Hadfield, The Cost of Law: Promoting Access to Justice through the (</w:t>
      </w:r>
      <w:proofErr w:type="gramStart"/>
      <w:r w:rsidRPr="008C1FEF">
        <w:t>Un)Corporate</w:t>
      </w:r>
      <w:proofErr w:type="gramEnd"/>
      <w:r w:rsidRPr="008C1FEF">
        <w:t xml:space="preserve"> Practice of Law, 38 Int’l. Rev. L. &amp; Econ. 43 (2014)</w:t>
      </w:r>
      <w:proofErr w:type="gramStart"/>
      <w:r w:rsidRPr="008C1FEF">
        <w:t>;</w:t>
      </w:r>
      <w:proofErr w:type="gramEnd"/>
      <w:r w:rsidRPr="008C1FEF">
        <w:t xml:space="preserve"> Gillian K. Hadfield, Innovating to Improve Access: Changing the Way Courts Regulate Legal Markets, </w:t>
      </w:r>
      <w:proofErr w:type="spellStart"/>
      <w:r w:rsidRPr="008C1FEF">
        <w:t>Dædalus</w:t>
      </w:r>
      <w:proofErr w:type="spellEnd"/>
      <w:r w:rsidRPr="008C1FEF">
        <w:t xml:space="preserve"> (2014).</w:t>
      </w:r>
    </w:p>
  </w:footnote>
  <w:footnote w:id="5">
    <w:p w:rsidR="00E32338" w:rsidRDefault="00E32338" w:rsidP="002631FA">
      <w:pPr>
        <w:pStyle w:val="FootnoteText"/>
      </w:pPr>
      <w:r>
        <w:rPr>
          <w:rStyle w:val="FootnoteReference"/>
        </w:rPr>
        <w:footnoteRef/>
      </w:r>
      <w:r>
        <w:t xml:space="preserve"> </w:t>
      </w:r>
      <w:r w:rsidRPr="008C1FEF">
        <w:t>Gillian K. Hadfield</w:t>
      </w:r>
      <w:r>
        <w:t xml:space="preserve"> &amp; Jamie Heine, Life in the Law—</w:t>
      </w:r>
      <w:r w:rsidRPr="008C1FEF">
        <w:t xml:space="preserve">Thick World: The Legal Resource Landscape for Ordinary Americans, in Beyond Elite Law: Access To Civil Justice For Americans Of Average Means, S. </w:t>
      </w:r>
      <w:proofErr w:type="spellStart"/>
      <w:r w:rsidRPr="008C1FEF">
        <w:t>Estreicher</w:t>
      </w:r>
      <w:proofErr w:type="spellEnd"/>
      <w:r w:rsidRPr="008C1FEF">
        <w:t xml:space="preserve"> and J. </w:t>
      </w:r>
      <w:proofErr w:type="spellStart"/>
      <w:r w:rsidRPr="008C1FEF">
        <w:t>Radice</w:t>
      </w:r>
      <w:proofErr w:type="spellEnd"/>
      <w:r w:rsidRPr="008C1FEF">
        <w:t xml:space="preserve"> (eds.) (2015). </w:t>
      </w:r>
    </w:p>
  </w:footnote>
  <w:footnote w:id="6">
    <w:p w:rsidR="00E32338" w:rsidRDefault="00E32338" w:rsidP="002631FA">
      <w:pPr>
        <w:pStyle w:val="FootnoteText"/>
      </w:pPr>
      <w:r>
        <w:rPr>
          <w:rStyle w:val="FootnoteReference"/>
        </w:rPr>
        <w:footnoteRef/>
      </w:r>
      <w:r>
        <w:t xml:space="preserve"> </w:t>
      </w:r>
      <w:proofErr w:type="spellStart"/>
      <w:r w:rsidRPr="00A17D36">
        <w:t>LegalShield</w:t>
      </w:r>
      <w:proofErr w:type="spellEnd"/>
      <w:r w:rsidRPr="00A17D36">
        <w:t xml:space="preserve">, </w:t>
      </w:r>
      <w:r w:rsidRPr="00A17D36">
        <w:rPr>
          <w:i/>
          <w:iCs/>
        </w:rPr>
        <w:t xml:space="preserve">Decision Analyst Survey: The Legal Needs of Small Business </w:t>
      </w:r>
      <w:r w:rsidRPr="00A17D36">
        <w:t>(2013), https://www.legalshield.com/news/l</w:t>
      </w:r>
      <w:r>
        <w:t>egal-needs-american-families-0.</w:t>
      </w:r>
    </w:p>
  </w:footnote>
  <w:footnote w:id="7">
    <w:p w:rsidR="00E32338" w:rsidRPr="00E86DD3" w:rsidRDefault="00E32338" w:rsidP="002631FA">
      <w:pPr>
        <w:pStyle w:val="FootnoteText"/>
      </w:pPr>
      <w:r>
        <w:rPr>
          <w:rStyle w:val="FootnoteReference"/>
        </w:rPr>
        <w:footnoteRef/>
      </w:r>
      <w:r>
        <w:t xml:space="preserve"> </w:t>
      </w:r>
      <w:proofErr w:type="gramStart"/>
      <w:r>
        <w:rPr>
          <w:i/>
        </w:rPr>
        <w:t xml:space="preserve">Supreme Court Committee on Access and Fairness, </w:t>
      </w:r>
      <w:r>
        <w:t xml:space="preserve">New Jersey Courts, </w:t>
      </w:r>
      <w:r w:rsidRPr="00E86DD3">
        <w:t>https://www.judiciary.state.nj.us/public/access/accessfairness.html#about</w:t>
      </w:r>
      <w:r>
        <w:t xml:space="preserve"> (last visited July 21, 2017).</w:t>
      </w:r>
      <w:proofErr w:type="gramEnd"/>
    </w:p>
  </w:footnote>
  <w:footnote w:id="8">
    <w:p w:rsidR="00E32338" w:rsidRPr="00712627" w:rsidRDefault="00E32338" w:rsidP="002631FA">
      <w:pPr>
        <w:spacing w:after="0"/>
        <w:rPr>
          <w:rFonts w:ascii="Times" w:hAnsi="Times"/>
          <w:sz w:val="20"/>
          <w:szCs w:val="20"/>
          <w:lang w:bidi="ar-SA"/>
        </w:rPr>
      </w:pPr>
      <w:r>
        <w:rPr>
          <w:rStyle w:val="FootnoteReference"/>
        </w:rPr>
        <w:footnoteRef/>
      </w:r>
      <w:r>
        <w:t xml:space="preserve"> </w:t>
      </w:r>
      <w:r w:rsidRPr="00BC4048">
        <w:rPr>
          <w:i/>
        </w:rPr>
        <w:t>North Carolina State Bd. of Dental Examiners v. FTC</w:t>
      </w:r>
      <w:r>
        <w:t>, 574 U.S. ___,</w:t>
      </w:r>
      <w:r w:rsidRPr="0092396B">
        <w:t xml:space="preserve"> </w:t>
      </w:r>
      <w:r>
        <w:t>135 S. Ct. 1101 (2015).</w:t>
      </w:r>
    </w:p>
  </w:footnote>
  <w:footnote w:id="9">
    <w:p w:rsidR="00E32338" w:rsidRPr="002631FA" w:rsidRDefault="00E32338" w:rsidP="002631FA">
      <w:pPr>
        <w:pStyle w:val="FootnoteText"/>
        <w:rPr>
          <w:szCs w:val="20"/>
        </w:rPr>
      </w:pPr>
      <w:r>
        <w:rPr>
          <w:rStyle w:val="FootnoteReference"/>
        </w:rPr>
        <w:footnoteRef/>
      </w:r>
      <w:r w:rsidRPr="006A68DD">
        <w:t>N.J. Court Rules, R. 1:19-1;</w:t>
      </w:r>
      <w:r w:rsidRPr="006A68DD">
        <w:rPr>
          <w:rFonts w:eastAsia="Times New Roman" w:cs="Times New Roman"/>
          <w:color w:val="373739"/>
          <w:sz w:val="17"/>
          <w:szCs w:val="17"/>
        </w:rPr>
        <w:t xml:space="preserve"> </w:t>
      </w:r>
      <w:r w:rsidRPr="006A68DD">
        <w:rPr>
          <w:rFonts w:eastAsia="Times New Roman" w:cs="Times New Roman"/>
          <w:color w:val="373739"/>
          <w:szCs w:val="20"/>
        </w:rPr>
        <w:t>N.J. Court Rules</w:t>
      </w:r>
      <w:r>
        <w:rPr>
          <w:rFonts w:eastAsia="Times New Roman" w:cs="Times New Roman"/>
          <w:color w:val="373739"/>
          <w:szCs w:val="20"/>
        </w:rPr>
        <w:t xml:space="preserve">, R. 1:19A-1; N.J. Court Rules, </w:t>
      </w:r>
      <w:r w:rsidRPr="006A68DD">
        <w:rPr>
          <w:rFonts w:eastAsia="Times New Roman" w:cs="Times New Roman"/>
          <w:color w:val="373739"/>
          <w:szCs w:val="20"/>
        </w:rPr>
        <w:t>R. 1:22-1</w:t>
      </w:r>
      <w:r>
        <w:rPr>
          <w:szCs w:val="20"/>
        </w:rPr>
        <w:t>;</w:t>
      </w:r>
      <w:r w:rsidRPr="0078072E">
        <w:rPr>
          <w:rFonts w:ascii="Helvetica" w:eastAsia="Times New Roman" w:hAnsi="Helvetica" w:cs="Times New Roman"/>
          <w:color w:val="373739"/>
          <w:sz w:val="21"/>
          <w:szCs w:val="21"/>
          <w:shd w:val="clear" w:color="auto" w:fill="FFFFFF"/>
          <w:lang w:bidi="ar-SA"/>
        </w:rPr>
        <w:t xml:space="preserve"> </w:t>
      </w:r>
      <w:r w:rsidRPr="0078072E">
        <w:rPr>
          <w:szCs w:val="20"/>
        </w:rPr>
        <w:t>N.J. Const., Art. VI, Sec. VI, Para. 2</w:t>
      </w:r>
      <w:r>
        <w:rPr>
          <w:szCs w:val="20"/>
        </w:rPr>
        <w:t>.</w:t>
      </w:r>
    </w:p>
  </w:footnote>
  <w:footnote w:id="10">
    <w:p w:rsidR="00E32338" w:rsidRDefault="00E32338" w:rsidP="002631FA">
      <w:pPr>
        <w:pStyle w:val="FootnoteText"/>
      </w:pPr>
      <w:r>
        <w:rPr>
          <w:rStyle w:val="FootnoteReference"/>
        </w:rPr>
        <w:footnoteRef/>
      </w:r>
      <w:r>
        <w:t xml:space="preserve"> </w:t>
      </w:r>
      <w:r w:rsidRPr="00BC4048">
        <w:rPr>
          <w:i/>
        </w:rPr>
        <w:t>North Carolina State Bd. of Dental Examiners v. FTC</w:t>
      </w:r>
      <w:r>
        <w:t>, 574 U.S. ___,</w:t>
      </w:r>
      <w:r w:rsidRPr="0092396B">
        <w:t xml:space="preserve"> </w:t>
      </w:r>
      <w:r>
        <w:t>135 S. Ct. 1101 (2015).</w:t>
      </w:r>
    </w:p>
  </w:footnote>
  <w:footnote w:id="11">
    <w:p w:rsidR="00E32338" w:rsidRPr="003B5934" w:rsidRDefault="00E32338" w:rsidP="002631FA">
      <w:pPr>
        <w:pStyle w:val="FootnoteText"/>
      </w:pPr>
      <w:r>
        <w:rPr>
          <w:rStyle w:val="FootnoteReference"/>
        </w:rPr>
        <w:footnoteRef/>
      </w:r>
      <w:r>
        <w:t xml:space="preserve"> </w:t>
      </w:r>
      <w:proofErr w:type="gramStart"/>
      <w:r>
        <w:rPr>
          <w:i/>
        </w:rPr>
        <w:t xml:space="preserve">Id </w:t>
      </w:r>
      <w:r>
        <w:t>at 1107.</w:t>
      </w:r>
      <w:proofErr w:type="gramEnd"/>
    </w:p>
  </w:footnote>
  <w:footnote w:id="12">
    <w:p w:rsidR="00E32338" w:rsidRDefault="00E32338" w:rsidP="002631FA">
      <w:pPr>
        <w:pStyle w:val="FootnoteText"/>
      </w:pPr>
      <w:r>
        <w:rPr>
          <w:rStyle w:val="FootnoteReference"/>
        </w:rPr>
        <w:footnoteRef/>
      </w:r>
      <w:r>
        <w:t xml:space="preserve"> </w:t>
      </w:r>
      <w:r w:rsidRPr="00681C19">
        <w:rPr>
          <w:i/>
        </w:rPr>
        <w:t xml:space="preserve">Patrick v. </w:t>
      </w:r>
      <w:proofErr w:type="spellStart"/>
      <w:r w:rsidRPr="00681C19">
        <w:rPr>
          <w:i/>
        </w:rPr>
        <w:t>Burge</w:t>
      </w:r>
      <w:r w:rsidRPr="00681C19">
        <w:t>t</w:t>
      </w:r>
      <w:proofErr w:type="spellEnd"/>
      <w:r w:rsidRPr="00681C19">
        <w:t>, 486 U.S. 94 (U.S. May 16, 1988)</w:t>
      </w:r>
    </w:p>
  </w:footnote>
  <w:footnote w:id="13">
    <w:p w:rsidR="00E32338" w:rsidRPr="00253218" w:rsidRDefault="00E32338" w:rsidP="002631FA">
      <w:pPr>
        <w:pStyle w:val="FootnoteText"/>
      </w:pPr>
      <w:r>
        <w:rPr>
          <w:rStyle w:val="FootnoteReference"/>
        </w:rPr>
        <w:footnoteRef/>
      </w:r>
      <w:r>
        <w:t xml:space="preserve"> </w:t>
      </w:r>
      <w:proofErr w:type="gramStart"/>
      <w:r w:rsidRPr="00253218">
        <w:t>135 S. Ct.</w:t>
      </w:r>
      <w:r>
        <w:t>,</w:t>
      </w:r>
      <w:r w:rsidRPr="00253218">
        <w:t xml:space="preserve"> at 1116–17</w:t>
      </w:r>
      <w:r>
        <w:t>.</w:t>
      </w:r>
      <w:proofErr w:type="gramEnd"/>
    </w:p>
  </w:footnote>
  <w:footnote w:id="14">
    <w:p w:rsidR="00E32338" w:rsidRDefault="00E32338" w:rsidP="002631FA">
      <w:pPr>
        <w:pStyle w:val="FootnoteText"/>
      </w:pPr>
      <w:r>
        <w:rPr>
          <w:rStyle w:val="FootnoteReference"/>
        </w:rPr>
        <w:footnoteRef/>
      </w:r>
      <w:r>
        <w:t xml:space="preserve"> </w:t>
      </w:r>
      <w:proofErr w:type="gramStart"/>
      <w:r>
        <w:t>New Jersey Constitution, Art.</w:t>
      </w:r>
      <w:proofErr w:type="gramEnd"/>
      <w:r>
        <w:t xml:space="preserve"> VI, Sec. VI.</w:t>
      </w:r>
    </w:p>
  </w:footnote>
  <w:footnote w:id="15">
    <w:p w:rsidR="00E32338" w:rsidRDefault="00E32338" w:rsidP="002631FA">
      <w:pPr>
        <w:pStyle w:val="FootnoteText"/>
        <w:rPr>
          <w:lang w:bidi="ar-SA"/>
        </w:rPr>
      </w:pPr>
      <w:r>
        <w:rPr>
          <w:rStyle w:val="FootnoteReference"/>
        </w:rPr>
        <w:footnoteRef/>
      </w:r>
      <w:r>
        <w:t xml:space="preserve"> </w:t>
      </w:r>
      <w:proofErr w:type="gramStart"/>
      <w:r w:rsidRPr="005B5329">
        <w:rPr>
          <w:lang w:bidi="ar-SA"/>
        </w:rPr>
        <w:t>FTC Staff Guidance on Active Supervision of State Regulatory Boards Controlled by Market Participants</w:t>
      </w:r>
      <w:r>
        <w:rPr>
          <w:lang w:bidi="ar-SA"/>
        </w:rPr>
        <w:t xml:space="preserve">, </w:t>
      </w:r>
      <w:r>
        <w:t>p 7 (2015).</w:t>
      </w:r>
      <w:proofErr w:type="gramEnd"/>
    </w:p>
  </w:footnote>
  <w:footnote w:id="16">
    <w:p w:rsidR="00E32338" w:rsidRDefault="00E32338" w:rsidP="002631FA">
      <w:pPr>
        <w:pStyle w:val="FootnoteText"/>
      </w:pPr>
      <w:r>
        <w:rPr>
          <w:rStyle w:val="FootnoteReference"/>
        </w:rPr>
        <w:footnoteRef/>
      </w:r>
      <w:r>
        <w:t xml:space="preserve"> See Appendix, pg. 10. </w:t>
      </w:r>
    </w:p>
  </w:footnote>
  <w:footnote w:id="17">
    <w:p w:rsidR="00E32338" w:rsidRDefault="00E32338" w:rsidP="002631FA">
      <w:pPr>
        <w:pStyle w:val="FootnoteText"/>
      </w:pPr>
      <w:r>
        <w:rPr>
          <w:rStyle w:val="FootnoteReference"/>
        </w:rPr>
        <w:footnoteRef/>
      </w:r>
      <w:r>
        <w:t xml:space="preserve"> </w:t>
      </w:r>
      <w:r w:rsidRPr="00BC4048">
        <w:rPr>
          <w:i/>
        </w:rPr>
        <w:t>North Carolina State Bd. of Dental Examiners v. FTC</w:t>
      </w:r>
      <w:r>
        <w:t>, 574 U.S. ___,</w:t>
      </w:r>
      <w:r w:rsidRPr="0092396B">
        <w:t xml:space="preserve"> </w:t>
      </w:r>
      <w:r>
        <w:t>135 S. Ct. 1101 (2015).</w:t>
      </w:r>
    </w:p>
  </w:footnote>
  <w:footnote w:id="18">
    <w:p w:rsidR="00E32338" w:rsidRDefault="00E32338" w:rsidP="002631FA">
      <w:pPr>
        <w:pStyle w:val="FootnoteText"/>
      </w:pPr>
      <w:r>
        <w:rPr>
          <w:rStyle w:val="FootnoteReference"/>
        </w:rPr>
        <w:footnoteRef/>
      </w:r>
      <w:r>
        <w:t xml:space="preserve"> </w:t>
      </w:r>
      <w:proofErr w:type="gramStart"/>
      <w:r w:rsidRPr="00017B2E">
        <w:t>N.J. Court Rules, RPC 7.2</w:t>
      </w:r>
      <w:r>
        <w:t xml:space="preserve">; </w:t>
      </w:r>
      <w:r w:rsidRPr="00017B2E">
        <w:t>N.J. Court Rules, RPC 7.3</w:t>
      </w:r>
      <w:r>
        <w:t>.</w:t>
      </w:r>
      <w:proofErr w:type="gramEnd"/>
    </w:p>
  </w:footnote>
  <w:footnote w:id="19">
    <w:p w:rsidR="00E32338" w:rsidRPr="002631FA" w:rsidRDefault="00E32338" w:rsidP="002631FA">
      <w:pPr>
        <w:pStyle w:val="FootnoteText"/>
        <w:rPr>
          <w:lang w:val="es-ES"/>
        </w:rPr>
      </w:pPr>
      <w:r>
        <w:rPr>
          <w:rStyle w:val="FootnoteReference"/>
        </w:rPr>
        <w:footnoteRef/>
      </w:r>
      <w:r w:rsidRPr="002631FA">
        <w:rPr>
          <w:lang w:val="es-ES"/>
        </w:rPr>
        <w:t xml:space="preserve"> </w:t>
      </w:r>
      <w:r w:rsidRPr="002631FA">
        <w:rPr>
          <w:u w:val="single"/>
          <w:lang w:val="es-ES"/>
        </w:rPr>
        <w:t>CAA OPINION 43</w:t>
      </w:r>
      <w:r w:rsidRPr="002631FA">
        <w:rPr>
          <w:lang w:val="es-ES"/>
        </w:rPr>
        <w:t xml:space="preserve">, </w:t>
      </w:r>
      <w:r w:rsidRPr="002631FA">
        <w:rPr>
          <w:iCs/>
          <w:lang w:val="es-ES"/>
        </w:rPr>
        <w:t>205 N.J.L.J. 155 (2011).</w:t>
      </w:r>
    </w:p>
    <w:p w:rsidR="00E32338" w:rsidRPr="002631FA" w:rsidRDefault="00E32338" w:rsidP="00E32338">
      <w:pPr>
        <w:pStyle w:val="FootnoteText"/>
        <w:rPr>
          <w:lang w:val="es-ES"/>
        </w:rPr>
      </w:pPr>
    </w:p>
  </w:footnote>
  <w:footnote w:id="20">
    <w:p w:rsidR="00E32338" w:rsidRPr="00017B2E" w:rsidRDefault="00E32338" w:rsidP="002631FA">
      <w:pPr>
        <w:pStyle w:val="FootnoteText"/>
      </w:pPr>
      <w:r>
        <w:rPr>
          <w:rStyle w:val="FootnoteReference"/>
        </w:rPr>
        <w:footnoteRef/>
      </w:r>
      <w:r>
        <w:t xml:space="preserve"> </w:t>
      </w:r>
      <w:r w:rsidRPr="00017B2E">
        <w:t>N.J. Court Rules, RPC 5.4</w:t>
      </w:r>
      <w:r>
        <w:t>.</w:t>
      </w:r>
    </w:p>
    <w:p w:rsidR="00E32338" w:rsidRDefault="00E32338" w:rsidP="00E32338">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D" w:rsidRDefault="00A919AD" w:rsidP="00FD4264">
    <w:pPr>
      <w:pStyle w:val="Header"/>
      <w:ind w:left="0" w:hanging="72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D" w:rsidRDefault="00A919AD" w:rsidP="005F14BF">
    <w:pPr>
      <w:pStyle w:val="Header"/>
      <w:ind w:hanging="3420"/>
    </w:pPr>
    <w:r>
      <w:rPr>
        <w:noProof/>
        <w:lang w:bidi="ar-SA"/>
      </w:rPr>
      <w:drawing>
        <wp:inline distT="0" distB="0" distL="0" distR="0">
          <wp:extent cx="2219732" cy="876300"/>
          <wp:effectExtent l="19050" t="0" r="9118" b="0"/>
          <wp:docPr id="2" name="Picture 0" descr="New R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L Logo.jpg"/>
                  <pic:cNvPicPr/>
                </pic:nvPicPr>
                <pic:blipFill>
                  <a:blip r:embed="rId1"/>
                  <a:stretch>
                    <a:fillRect/>
                  </a:stretch>
                </pic:blipFill>
                <pic:spPr>
                  <a:xfrm>
                    <a:off x="0" y="0"/>
                    <a:ext cx="2219732" cy="876300"/>
                  </a:xfrm>
                  <a:prstGeom prst="rect">
                    <a:avLst/>
                  </a:prstGeom>
                </pic:spPr>
              </pic:pic>
            </a:graphicData>
          </a:graphic>
        </wp:inline>
      </w:drawing>
    </w:r>
  </w:p>
  <w:p w:rsidR="00A919AD" w:rsidRDefault="00A919AD">
    <w:pPr>
      <w:pStyle w:val="Header"/>
    </w:pPr>
  </w:p>
  <w:p w:rsidR="00A919AD" w:rsidRDefault="00A919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A394E"/>
    <w:multiLevelType w:val="hybridMultilevel"/>
    <w:tmpl w:val="672A41DA"/>
    <w:lvl w:ilvl="0" w:tplc="516032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5834AD"/>
    <w:multiLevelType w:val="hybridMultilevel"/>
    <w:tmpl w:val="21FAEA50"/>
    <w:lvl w:ilvl="0" w:tplc="F14A4914">
      <w:start w:val="1"/>
      <w:numFmt w:val="bullet"/>
      <w:lvlText w:val="&lt;"/>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Web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eb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ebding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F64B1"/>
    <w:multiLevelType w:val="hybridMultilevel"/>
    <w:tmpl w:val="64FCB22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Web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eb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ebdings"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B23CCB"/>
    <w:multiLevelType w:val="hybridMultilevel"/>
    <w:tmpl w:val="0EFE78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Web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eb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ebdings"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5B69D3"/>
    <w:multiLevelType w:val="hybridMultilevel"/>
    <w:tmpl w:val="2408C3A6"/>
    <w:lvl w:ilvl="0" w:tplc="4B12467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28E0894"/>
    <w:multiLevelType w:val="hybridMultilevel"/>
    <w:tmpl w:val="DC50903A"/>
    <w:lvl w:ilvl="0" w:tplc="A13AB3CA">
      <w:start w:val="1"/>
      <w:numFmt w:val="lowerLetter"/>
      <w:pStyle w:val="Heading3"/>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40E16F2"/>
    <w:multiLevelType w:val="hybridMultilevel"/>
    <w:tmpl w:val="C5EEC0CA"/>
    <w:lvl w:ilvl="0" w:tplc="2CFE9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556448C"/>
    <w:multiLevelType w:val="hybridMultilevel"/>
    <w:tmpl w:val="F76EE9F0"/>
    <w:lvl w:ilvl="0" w:tplc="F14A4914">
      <w:start w:val="1"/>
      <w:numFmt w:val="bullet"/>
      <w:lvlText w:val="&lt;"/>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Web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eb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ebdings"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6182008"/>
    <w:multiLevelType w:val="hybridMultilevel"/>
    <w:tmpl w:val="67CA3486"/>
    <w:lvl w:ilvl="0" w:tplc="4B823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EF03633"/>
    <w:multiLevelType w:val="hybridMultilevel"/>
    <w:tmpl w:val="F6BE9A0E"/>
    <w:lvl w:ilvl="0" w:tplc="F14A4914">
      <w:start w:val="1"/>
      <w:numFmt w:val="bullet"/>
      <w:lvlText w:val="&lt;"/>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Web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eb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ebdings"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42335FE"/>
    <w:multiLevelType w:val="hybridMultilevel"/>
    <w:tmpl w:val="16BEE5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Web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eb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ebdings"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656181"/>
    <w:multiLevelType w:val="hybridMultilevel"/>
    <w:tmpl w:val="D56AD48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D951D3E"/>
    <w:multiLevelType w:val="hybridMultilevel"/>
    <w:tmpl w:val="E856C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67550"/>
    <w:multiLevelType w:val="hybridMultilevel"/>
    <w:tmpl w:val="46E0550A"/>
    <w:lvl w:ilvl="0" w:tplc="90F8F1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9"/>
  </w:num>
  <w:num w:numId="8">
    <w:abstractNumId w:val="15"/>
  </w:num>
  <w:num w:numId="9">
    <w:abstractNumId w:val="14"/>
  </w:num>
  <w:num w:numId="10">
    <w:abstractNumId w:val="6"/>
  </w:num>
  <w:num w:numId="11">
    <w:abstractNumId w:val="17"/>
  </w:num>
  <w:num w:numId="12">
    <w:abstractNumId w:val="8"/>
  </w:num>
  <w:num w:numId="13">
    <w:abstractNumId w:val="12"/>
  </w:num>
  <w:num w:numId="14">
    <w:abstractNumId w:val="13"/>
  </w:num>
  <w:num w:numId="15">
    <w:abstractNumId w:val="11"/>
  </w:num>
  <w:num w:numId="16">
    <w:abstractNumId w:val="5"/>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E12423"/>
    <w:rsid w:val="00004E23"/>
    <w:rsid w:val="000061F8"/>
    <w:rsid w:val="000067B9"/>
    <w:rsid w:val="00014E02"/>
    <w:rsid w:val="00017B2E"/>
    <w:rsid w:val="0002770B"/>
    <w:rsid w:val="00034072"/>
    <w:rsid w:val="00037226"/>
    <w:rsid w:val="00041D47"/>
    <w:rsid w:val="000420DA"/>
    <w:rsid w:val="000457BF"/>
    <w:rsid w:val="00054B6F"/>
    <w:rsid w:val="0006344C"/>
    <w:rsid w:val="00064232"/>
    <w:rsid w:val="00065CBC"/>
    <w:rsid w:val="000709F0"/>
    <w:rsid w:val="00075BEA"/>
    <w:rsid w:val="00080C5A"/>
    <w:rsid w:val="0008440B"/>
    <w:rsid w:val="00090641"/>
    <w:rsid w:val="00091FA9"/>
    <w:rsid w:val="000942DC"/>
    <w:rsid w:val="0009498B"/>
    <w:rsid w:val="0009589C"/>
    <w:rsid w:val="000A604C"/>
    <w:rsid w:val="000C209F"/>
    <w:rsid w:val="000C27A5"/>
    <w:rsid w:val="000D052A"/>
    <w:rsid w:val="000D0A05"/>
    <w:rsid w:val="000D48CA"/>
    <w:rsid w:val="000D6A8C"/>
    <w:rsid w:val="000F2563"/>
    <w:rsid w:val="000F38CA"/>
    <w:rsid w:val="0010024C"/>
    <w:rsid w:val="00105DF0"/>
    <w:rsid w:val="0010785D"/>
    <w:rsid w:val="00112171"/>
    <w:rsid w:val="001151CB"/>
    <w:rsid w:val="00120BCD"/>
    <w:rsid w:val="00134CF8"/>
    <w:rsid w:val="00145183"/>
    <w:rsid w:val="00160CCA"/>
    <w:rsid w:val="00165E37"/>
    <w:rsid w:val="00166144"/>
    <w:rsid w:val="001767C7"/>
    <w:rsid w:val="00182680"/>
    <w:rsid w:val="00184F8B"/>
    <w:rsid w:val="00192DB7"/>
    <w:rsid w:val="00192E74"/>
    <w:rsid w:val="00194547"/>
    <w:rsid w:val="00195760"/>
    <w:rsid w:val="001B77A3"/>
    <w:rsid w:val="001B7F81"/>
    <w:rsid w:val="001C113B"/>
    <w:rsid w:val="001C56FD"/>
    <w:rsid w:val="001C7980"/>
    <w:rsid w:val="001D28FB"/>
    <w:rsid w:val="001D426A"/>
    <w:rsid w:val="001F3817"/>
    <w:rsid w:val="001F3AD5"/>
    <w:rsid w:val="001F612A"/>
    <w:rsid w:val="00200B49"/>
    <w:rsid w:val="00220361"/>
    <w:rsid w:val="00221001"/>
    <w:rsid w:val="00221C5F"/>
    <w:rsid w:val="00224322"/>
    <w:rsid w:val="00225D04"/>
    <w:rsid w:val="002319F0"/>
    <w:rsid w:val="00236D87"/>
    <w:rsid w:val="00241B1C"/>
    <w:rsid w:val="0024637B"/>
    <w:rsid w:val="0025083E"/>
    <w:rsid w:val="00254E38"/>
    <w:rsid w:val="002631FA"/>
    <w:rsid w:val="002654BA"/>
    <w:rsid w:val="00266DA3"/>
    <w:rsid w:val="00276275"/>
    <w:rsid w:val="0028375E"/>
    <w:rsid w:val="00283F85"/>
    <w:rsid w:val="002867CF"/>
    <w:rsid w:val="0028760F"/>
    <w:rsid w:val="00287E78"/>
    <w:rsid w:val="00293E32"/>
    <w:rsid w:val="00294799"/>
    <w:rsid w:val="002A5966"/>
    <w:rsid w:val="002B06E9"/>
    <w:rsid w:val="002B07C1"/>
    <w:rsid w:val="002C00EB"/>
    <w:rsid w:val="002C44D4"/>
    <w:rsid w:val="002D2AF7"/>
    <w:rsid w:val="002D3387"/>
    <w:rsid w:val="002D73E7"/>
    <w:rsid w:val="002E4778"/>
    <w:rsid w:val="002F5E2D"/>
    <w:rsid w:val="00302737"/>
    <w:rsid w:val="00320EBF"/>
    <w:rsid w:val="003303A4"/>
    <w:rsid w:val="00342B10"/>
    <w:rsid w:val="003432FE"/>
    <w:rsid w:val="00343C8C"/>
    <w:rsid w:val="00354DF8"/>
    <w:rsid w:val="00356000"/>
    <w:rsid w:val="003576B2"/>
    <w:rsid w:val="00374CAE"/>
    <w:rsid w:val="0038197C"/>
    <w:rsid w:val="00381E43"/>
    <w:rsid w:val="00382193"/>
    <w:rsid w:val="003839B7"/>
    <w:rsid w:val="00387F0A"/>
    <w:rsid w:val="003A70E8"/>
    <w:rsid w:val="003B509F"/>
    <w:rsid w:val="003B5934"/>
    <w:rsid w:val="003C4168"/>
    <w:rsid w:val="003C4C95"/>
    <w:rsid w:val="003C7A0A"/>
    <w:rsid w:val="003D0A87"/>
    <w:rsid w:val="003D54F0"/>
    <w:rsid w:val="003E19C5"/>
    <w:rsid w:val="003E271C"/>
    <w:rsid w:val="003E3BC6"/>
    <w:rsid w:val="003E4120"/>
    <w:rsid w:val="003E7EE9"/>
    <w:rsid w:val="00401F74"/>
    <w:rsid w:val="00422EE1"/>
    <w:rsid w:val="0042334E"/>
    <w:rsid w:val="0044351B"/>
    <w:rsid w:val="00443999"/>
    <w:rsid w:val="0044496B"/>
    <w:rsid w:val="0045219C"/>
    <w:rsid w:val="00452D1A"/>
    <w:rsid w:val="00454490"/>
    <w:rsid w:val="004567EA"/>
    <w:rsid w:val="00457CB3"/>
    <w:rsid w:val="00461332"/>
    <w:rsid w:val="00461F24"/>
    <w:rsid w:val="00464D70"/>
    <w:rsid w:val="004666AA"/>
    <w:rsid w:val="00466B7C"/>
    <w:rsid w:val="00467F8C"/>
    <w:rsid w:val="00470800"/>
    <w:rsid w:val="00473C9E"/>
    <w:rsid w:val="0047710C"/>
    <w:rsid w:val="00481BF5"/>
    <w:rsid w:val="00484185"/>
    <w:rsid w:val="00485685"/>
    <w:rsid w:val="00487D8C"/>
    <w:rsid w:val="004A328C"/>
    <w:rsid w:val="004A7A96"/>
    <w:rsid w:val="004B3C4A"/>
    <w:rsid w:val="004B47C9"/>
    <w:rsid w:val="004B78B0"/>
    <w:rsid w:val="004C0A62"/>
    <w:rsid w:val="004C0E52"/>
    <w:rsid w:val="004C4A4A"/>
    <w:rsid w:val="004C5C6C"/>
    <w:rsid w:val="004D19A4"/>
    <w:rsid w:val="004D63AA"/>
    <w:rsid w:val="004E12A2"/>
    <w:rsid w:val="004F0ADA"/>
    <w:rsid w:val="004F2B1C"/>
    <w:rsid w:val="004F3B02"/>
    <w:rsid w:val="00501F04"/>
    <w:rsid w:val="00516DA7"/>
    <w:rsid w:val="00517BF9"/>
    <w:rsid w:val="00520B2E"/>
    <w:rsid w:val="00522CE2"/>
    <w:rsid w:val="00530093"/>
    <w:rsid w:val="00531FAB"/>
    <w:rsid w:val="0054174E"/>
    <w:rsid w:val="005442CF"/>
    <w:rsid w:val="00551BF1"/>
    <w:rsid w:val="0055311D"/>
    <w:rsid w:val="0056011E"/>
    <w:rsid w:val="00560543"/>
    <w:rsid w:val="00561055"/>
    <w:rsid w:val="00566312"/>
    <w:rsid w:val="00572295"/>
    <w:rsid w:val="005752F4"/>
    <w:rsid w:val="00582393"/>
    <w:rsid w:val="005829EC"/>
    <w:rsid w:val="00585C46"/>
    <w:rsid w:val="00591961"/>
    <w:rsid w:val="00596667"/>
    <w:rsid w:val="005A0B82"/>
    <w:rsid w:val="005A3C88"/>
    <w:rsid w:val="005B2E74"/>
    <w:rsid w:val="005B5B62"/>
    <w:rsid w:val="005C3528"/>
    <w:rsid w:val="005C3D64"/>
    <w:rsid w:val="005D5753"/>
    <w:rsid w:val="005D5E30"/>
    <w:rsid w:val="005D75E5"/>
    <w:rsid w:val="005E1503"/>
    <w:rsid w:val="005E70D2"/>
    <w:rsid w:val="005F06F8"/>
    <w:rsid w:val="005F14BF"/>
    <w:rsid w:val="00606D1D"/>
    <w:rsid w:val="00617D4C"/>
    <w:rsid w:val="00625060"/>
    <w:rsid w:val="00630DF7"/>
    <w:rsid w:val="0063141E"/>
    <w:rsid w:val="0063481A"/>
    <w:rsid w:val="00635196"/>
    <w:rsid w:val="00635EA4"/>
    <w:rsid w:val="0064349C"/>
    <w:rsid w:val="00647F7E"/>
    <w:rsid w:val="00651C97"/>
    <w:rsid w:val="00655473"/>
    <w:rsid w:val="00657DF6"/>
    <w:rsid w:val="00674FB5"/>
    <w:rsid w:val="00681C19"/>
    <w:rsid w:val="00687EAB"/>
    <w:rsid w:val="00693423"/>
    <w:rsid w:val="006970D7"/>
    <w:rsid w:val="006A16C2"/>
    <w:rsid w:val="006A21F7"/>
    <w:rsid w:val="006A68DD"/>
    <w:rsid w:val="006B2D8C"/>
    <w:rsid w:val="006C3599"/>
    <w:rsid w:val="006C5CC3"/>
    <w:rsid w:val="006E269D"/>
    <w:rsid w:val="006E473D"/>
    <w:rsid w:val="006F2F43"/>
    <w:rsid w:val="007048E1"/>
    <w:rsid w:val="00706FCC"/>
    <w:rsid w:val="00712374"/>
    <w:rsid w:val="0071298B"/>
    <w:rsid w:val="0071323E"/>
    <w:rsid w:val="0071579D"/>
    <w:rsid w:val="0072240B"/>
    <w:rsid w:val="00734495"/>
    <w:rsid w:val="00736E0A"/>
    <w:rsid w:val="00740A8F"/>
    <w:rsid w:val="0074516B"/>
    <w:rsid w:val="00754276"/>
    <w:rsid w:val="00754472"/>
    <w:rsid w:val="00762D81"/>
    <w:rsid w:val="00766D43"/>
    <w:rsid w:val="00770A1D"/>
    <w:rsid w:val="0077321A"/>
    <w:rsid w:val="00782ABB"/>
    <w:rsid w:val="007835BB"/>
    <w:rsid w:val="00790F03"/>
    <w:rsid w:val="00791B9E"/>
    <w:rsid w:val="00793280"/>
    <w:rsid w:val="007A24B5"/>
    <w:rsid w:val="007A7301"/>
    <w:rsid w:val="007C05ED"/>
    <w:rsid w:val="007C1A78"/>
    <w:rsid w:val="007C33F7"/>
    <w:rsid w:val="007C4634"/>
    <w:rsid w:val="007C4D1F"/>
    <w:rsid w:val="007C754A"/>
    <w:rsid w:val="007D4083"/>
    <w:rsid w:val="007D4766"/>
    <w:rsid w:val="007D4B17"/>
    <w:rsid w:val="007D7621"/>
    <w:rsid w:val="007E0012"/>
    <w:rsid w:val="007F3168"/>
    <w:rsid w:val="00803BBA"/>
    <w:rsid w:val="00813652"/>
    <w:rsid w:val="00815247"/>
    <w:rsid w:val="008236F7"/>
    <w:rsid w:val="00825E11"/>
    <w:rsid w:val="00830F38"/>
    <w:rsid w:val="00831A26"/>
    <w:rsid w:val="008346F6"/>
    <w:rsid w:val="00837B6E"/>
    <w:rsid w:val="00837F07"/>
    <w:rsid w:val="0084016A"/>
    <w:rsid w:val="00853C73"/>
    <w:rsid w:val="00856624"/>
    <w:rsid w:val="00856D6D"/>
    <w:rsid w:val="00857C30"/>
    <w:rsid w:val="00876C6B"/>
    <w:rsid w:val="008805D7"/>
    <w:rsid w:val="00884E6C"/>
    <w:rsid w:val="00887DEE"/>
    <w:rsid w:val="008C032A"/>
    <w:rsid w:val="008C06D8"/>
    <w:rsid w:val="008C1FEF"/>
    <w:rsid w:val="008C351B"/>
    <w:rsid w:val="008C75C3"/>
    <w:rsid w:val="008D25DD"/>
    <w:rsid w:val="008D3F02"/>
    <w:rsid w:val="008D46CB"/>
    <w:rsid w:val="008D6161"/>
    <w:rsid w:val="008E0B69"/>
    <w:rsid w:val="008F3E6E"/>
    <w:rsid w:val="00901148"/>
    <w:rsid w:val="00902294"/>
    <w:rsid w:val="00902EC9"/>
    <w:rsid w:val="009053AF"/>
    <w:rsid w:val="009103EF"/>
    <w:rsid w:val="009133C1"/>
    <w:rsid w:val="009156C3"/>
    <w:rsid w:val="009157AF"/>
    <w:rsid w:val="00920CA8"/>
    <w:rsid w:val="00921FC7"/>
    <w:rsid w:val="0092396B"/>
    <w:rsid w:val="00932454"/>
    <w:rsid w:val="00932B9E"/>
    <w:rsid w:val="00934D13"/>
    <w:rsid w:val="009419E6"/>
    <w:rsid w:val="009514FE"/>
    <w:rsid w:val="00956776"/>
    <w:rsid w:val="0095787A"/>
    <w:rsid w:val="0096032D"/>
    <w:rsid w:val="009640D8"/>
    <w:rsid w:val="009653AE"/>
    <w:rsid w:val="00965D23"/>
    <w:rsid w:val="00971149"/>
    <w:rsid w:val="00980C57"/>
    <w:rsid w:val="00983EFB"/>
    <w:rsid w:val="009840D4"/>
    <w:rsid w:val="00992480"/>
    <w:rsid w:val="00995654"/>
    <w:rsid w:val="009A4E84"/>
    <w:rsid w:val="009B0DD9"/>
    <w:rsid w:val="009B3305"/>
    <w:rsid w:val="009B40B4"/>
    <w:rsid w:val="009B54E5"/>
    <w:rsid w:val="009B55D9"/>
    <w:rsid w:val="009B7B07"/>
    <w:rsid w:val="009B7D08"/>
    <w:rsid w:val="009C0A83"/>
    <w:rsid w:val="009D0C1E"/>
    <w:rsid w:val="009D1BFB"/>
    <w:rsid w:val="009D5EAE"/>
    <w:rsid w:val="009D6431"/>
    <w:rsid w:val="009D722C"/>
    <w:rsid w:val="009D72CB"/>
    <w:rsid w:val="009E1887"/>
    <w:rsid w:val="009E1F47"/>
    <w:rsid w:val="009E59C1"/>
    <w:rsid w:val="009E6D14"/>
    <w:rsid w:val="009F063C"/>
    <w:rsid w:val="00A0205C"/>
    <w:rsid w:val="00A045DD"/>
    <w:rsid w:val="00A1220F"/>
    <w:rsid w:val="00A17120"/>
    <w:rsid w:val="00A17D36"/>
    <w:rsid w:val="00A257FC"/>
    <w:rsid w:val="00A26D9E"/>
    <w:rsid w:val="00A31EA9"/>
    <w:rsid w:val="00A335FB"/>
    <w:rsid w:val="00A353C9"/>
    <w:rsid w:val="00A35B02"/>
    <w:rsid w:val="00A37BDE"/>
    <w:rsid w:val="00A37F45"/>
    <w:rsid w:val="00A41FD4"/>
    <w:rsid w:val="00A51803"/>
    <w:rsid w:val="00A62CCF"/>
    <w:rsid w:val="00A77FE2"/>
    <w:rsid w:val="00A83B79"/>
    <w:rsid w:val="00A84975"/>
    <w:rsid w:val="00A902DC"/>
    <w:rsid w:val="00A909CA"/>
    <w:rsid w:val="00A919AD"/>
    <w:rsid w:val="00A92B7B"/>
    <w:rsid w:val="00AA0C63"/>
    <w:rsid w:val="00AB313D"/>
    <w:rsid w:val="00AC2DF7"/>
    <w:rsid w:val="00AC2E8A"/>
    <w:rsid w:val="00AE3920"/>
    <w:rsid w:val="00AE53F7"/>
    <w:rsid w:val="00AE7A80"/>
    <w:rsid w:val="00AF549C"/>
    <w:rsid w:val="00AF66BF"/>
    <w:rsid w:val="00AF79FA"/>
    <w:rsid w:val="00B03B4F"/>
    <w:rsid w:val="00B043E7"/>
    <w:rsid w:val="00B071C1"/>
    <w:rsid w:val="00B0737A"/>
    <w:rsid w:val="00B11D47"/>
    <w:rsid w:val="00B15D46"/>
    <w:rsid w:val="00B16D56"/>
    <w:rsid w:val="00B31624"/>
    <w:rsid w:val="00B34D25"/>
    <w:rsid w:val="00B56744"/>
    <w:rsid w:val="00B62533"/>
    <w:rsid w:val="00B66955"/>
    <w:rsid w:val="00B73109"/>
    <w:rsid w:val="00B75FDB"/>
    <w:rsid w:val="00B8023B"/>
    <w:rsid w:val="00B8453E"/>
    <w:rsid w:val="00B85D10"/>
    <w:rsid w:val="00B8615F"/>
    <w:rsid w:val="00B86BF5"/>
    <w:rsid w:val="00BA0AF7"/>
    <w:rsid w:val="00BA5E32"/>
    <w:rsid w:val="00BB05D1"/>
    <w:rsid w:val="00BB2B06"/>
    <w:rsid w:val="00BB5D7B"/>
    <w:rsid w:val="00BC02A0"/>
    <w:rsid w:val="00BC2DC1"/>
    <w:rsid w:val="00BC4735"/>
    <w:rsid w:val="00BC6FBC"/>
    <w:rsid w:val="00BD263B"/>
    <w:rsid w:val="00BD64C4"/>
    <w:rsid w:val="00BD6D49"/>
    <w:rsid w:val="00BE558B"/>
    <w:rsid w:val="00BF7AE1"/>
    <w:rsid w:val="00C039F7"/>
    <w:rsid w:val="00C1742A"/>
    <w:rsid w:val="00C224C9"/>
    <w:rsid w:val="00C27152"/>
    <w:rsid w:val="00C3508A"/>
    <w:rsid w:val="00C3751C"/>
    <w:rsid w:val="00C42CDF"/>
    <w:rsid w:val="00C459C7"/>
    <w:rsid w:val="00C478CE"/>
    <w:rsid w:val="00C502E0"/>
    <w:rsid w:val="00C53182"/>
    <w:rsid w:val="00C624F3"/>
    <w:rsid w:val="00C6749E"/>
    <w:rsid w:val="00C67B3A"/>
    <w:rsid w:val="00C702A9"/>
    <w:rsid w:val="00C72447"/>
    <w:rsid w:val="00C75BE0"/>
    <w:rsid w:val="00C8680D"/>
    <w:rsid w:val="00C90216"/>
    <w:rsid w:val="00C90F40"/>
    <w:rsid w:val="00C93BF9"/>
    <w:rsid w:val="00C9497D"/>
    <w:rsid w:val="00CA024F"/>
    <w:rsid w:val="00CD00BF"/>
    <w:rsid w:val="00CD4130"/>
    <w:rsid w:val="00CE0EAD"/>
    <w:rsid w:val="00CE2CEA"/>
    <w:rsid w:val="00CF45BE"/>
    <w:rsid w:val="00D00440"/>
    <w:rsid w:val="00D11FD0"/>
    <w:rsid w:val="00D2529C"/>
    <w:rsid w:val="00D2669A"/>
    <w:rsid w:val="00D27231"/>
    <w:rsid w:val="00D311AC"/>
    <w:rsid w:val="00D45CA3"/>
    <w:rsid w:val="00D45CE6"/>
    <w:rsid w:val="00D47F1F"/>
    <w:rsid w:val="00D66359"/>
    <w:rsid w:val="00D75E75"/>
    <w:rsid w:val="00D766AE"/>
    <w:rsid w:val="00D84D36"/>
    <w:rsid w:val="00D910EF"/>
    <w:rsid w:val="00D94B15"/>
    <w:rsid w:val="00D97392"/>
    <w:rsid w:val="00D9774D"/>
    <w:rsid w:val="00DA19E6"/>
    <w:rsid w:val="00DA28EF"/>
    <w:rsid w:val="00DB603C"/>
    <w:rsid w:val="00DB6421"/>
    <w:rsid w:val="00DC30DA"/>
    <w:rsid w:val="00DD249D"/>
    <w:rsid w:val="00DD7356"/>
    <w:rsid w:val="00DE4EA7"/>
    <w:rsid w:val="00DF107D"/>
    <w:rsid w:val="00E01980"/>
    <w:rsid w:val="00E03390"/>
    <w:rsid w:val="00E04284"/>
    <w:rsid w:val="00E10A0F"/>
    <w:rsid w:val="00E12423"/>
    <w:rsid w:val="00E12B6A"/>
    <w:rsid w:val="00E16B38"/>
    <w:rsid w:val="00E2062E"/>
    <w:rsid w:val="00E23426"/>
    <w:rsid w:val="00E3147B"/>
    <w:rsid w:val="00E31618"/>
    <w:rsid w:val="00E32338"/>
    <w:rsid w:val="00E361B0"/>
    <w:rsid w:val="00E37007"/>
    <w:rsid w:val="00E44CDF"/>
    <w:rsid w:val="00E51C0D"/>
    <w:rsid w:val="00E62255"/>
    <w:rsid w:val="00E633D0"/>
    <w:rsid w:val="00E715D0"/>
    <w:rsid w:val="00E86DD3"/>
    <w:rsid w:val="00E90B55"/>
    <w:rsid w:val="00E90FAA"/>
    <w:rsid w:val="00E95F06"/>
    <w:rsid w:val="00EA0045"/>
    <w:rsid w:val="00EA2633"/>
    <w:rsid w:val="00EA2850"/>
    <w:rsid w:val="00EA2B61"/>
    <w:rsid w:val="00EB2B26"/>
    <w:rsid w:val="00EC01E7"/>
    <w:rsid w:val="00EC5814"/>
    <w:rsid w:val="00EC6378"/>
    <w:rsid w:val="00ED5107"/>
    <w:rsid w:val="00ED5224"/>
    <w:rsid w:val="00EE6B48"/>
    <w:rsid w:val="00EE7BC2"/>
    <w:rsid w:val="00EF0352"/>
    <w:rsid w:val="00EF6BA2"/>
    <w:rsid w:val="00F027A3"/>
    <w:rsid w:val="00F23F89"/>
    <w:rsid w:val="00F263FD"/>
    <w:rsid w:val="00F277CE"/>
    <w:rsid w:val="00F3298B"/>
    <w:rsid w:val="00F32B1C"/>
    <w:rsid w:val="00F32DE5"/>
    <w:rsid w:val="00F336AB"/>
    <w:rsid w:val="00F40974"/>
    <w:rsid w:val="00F413D1"/>
    <w:rsid w:val="00F5045F"/>
    <w:rsid w:val="00F517B4"/>
    <w:rsid w:val="00F57BF7"/>
    <w:rsid w:val="00F6051F"/>
    <w:rsid w:val="00F6596D"/>
    <w:rsid w:val="00F6617C"/>
    <w:rsid w:val="00F70708"/>
    <w:rsid w:val="00F716A6"/>
    <w:rsid w:val="00F74AE8"/>
    <w:rsid w:val="00F752EA"/>
    <w:rsid w:val="00F8014C"/>
    <w:rsid w:val="00F8293D"/>
    <w:rsid w:val="00F9025B"/>
    <w:rsid w:val="00F945D3"/>
    <w:rsid w:val="00FA2EE1"/>
    <w:rsid w:val="00FB4FC6"/>
    <w:rsid w:val="00FB66F1"/>
    <w:rsid w:val="00FB73BC"/>
    <w:rsid w:val="00FC187D"/>
    <w:rsid w:val="00FC3C54"/>
    <w:rsid w:val="00FC5805"/>
    <w:rsid w:val="00FD2F5B"/>
    <w:rsid w:val="00FD4264"/>
    <w:rsid w:val="00FD4B9F"/>
    <w:rsid w:val="00FD5444"/>
    <w:rsid w:val="00FE1A0C"/>
    <w:rsid w:val="00FF00AE"/>
    <w:rsid w:val="00FF0350"/>
  </w:rsids>
  <m:mathPr>
    <m:mathFont m:val="Webding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en-US"/>
      </w:rPr>
    </w:rPrDefault>
    <w:pPrDefault>
      <w:pPr>
        <w:spacing w:after="160" w:line="288" w:lineRule="auto"/>
        <w:ind w:left="216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065CBC"/>
    <w:rPr>
      <w:sz w:val="22"/>
    </w:rPr>
  </w:style>
  <w:style w:type="paragraph" w:styleId="Heading1">
    <w:name w:val="heading 1"/>
    <w:basedOn w:val="Normal"/>
    <w:next w:val="Normal"/>
    <w:link w:val="Heading1Char"/>
    <w:uiPriority w:val="9"/>
    <w:qFormat/>
    <w:rsid w:val="00E04284"/>
    <w:pPr>
      <w:keepNext/>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2C00EB"/>
    <w:pPr>
      <w:keepNext/>
      <w:spacing w:before="240" w:after="60" w:line="276" w:lineRule="auto"/>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4B47C9"/>
    <w:pPr>
      <w:keepNext/>
      <w:numPr>
        <w:numId w:val="7"/>
      </w:numPr>
      <w:spacing w:before="120" w:after="60" w:line="240" w:lineRule="auto"/>
      <w:contextualSpacing/>
      <w:outlineLvl w:val="2"/>
    </w:pPr>
    <w:rPr>
      <w:rFonts w:asciiTheme="majorHAnsi" w:eastAsiaTheme="majorEastAsia" w:hAnsiTheme="majorHAnsi" w:cstheme="majorBidi"/>
      <w:smallCaps/>
      <w:color w:val="1F497D" w:themeColor="text2"/>
      <w:spacing w:val="20"/>
      <w:sz w:val="24"/>
    </w:rPr>
  </w:style>
  <w:style w:type="paragraph" w:styleId="Heading4">
    <w:name w:val="heading 4"/>
    <w:basedOn w:val="Normal"/>
    <w:next w:val="Normal"/>
    <w:link w:val="Heading4Char"/>
    <w:uiPriority w:val="9"/>
    <w:unhideWhenUsed/>
    <w:qFormat/>
    <w:rsid w:val="003576B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3576B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3576B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3576B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3576B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3576B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5D75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5B"/>
    <w:rPr>
      <w:rFonts w:ascii="Lucida Grande" w:hAnsi="Lucida Grande" w:cs="Lucida Grande"/>
      <w:sz w:val="18"/>
      <w:szCs w:val="18"/>
    </w:rPr>
  </w:style>
  <w:style w:type="character" w:customStyle="1" w:styleId="BalloonTextChar0">
    <w:name w:val="Balloon Text Char"/>
    <w:basedOn w:val="DefaultParagraphFont"/>
    <w:uiPriority w:val="99"/>
    <w:semiHidden/>
    <w:rsid w:val="00BC655B"/>
    <w:rPr>
      <w:rFonts w:ascii="Lucida Grande" w:hAnsi="Lucida Grande" w:cs="Lucida Grande"/>
      <w:sz w:val="18"/>
      <w:szCs w:val="18"/>
    </w:rPr>
  </w:style>
  <w:style w:type="character" w:customStyle="1" w:styleId="BalloonTextChar2">
    <w:name w:val="Balloon Text Char"/>
    <w:basedOn w:val="DefaultParagraphFont"/>
    <w:uiPriority w:val="99"/>
    <w:semiHidden/>
    <w:rsid w:val="00BC655B"/>
    <w:rPr>
      <w:rFonts w:ascii="Lucida Grande" w:hAnsi="Lucida Grande" w:cs="Lucida Grande"/>
      <w:sz w:val="18"/>
      <w:szCs w:val="18"/>
    </w:rPr>
  </w:style>
  <w:style w:type="character" w:customStyle="1" w:styleId="BalloonTextChar3">
    <w:name w:val="Balloon Text Char"/>
    <w:basedOn w:val="DefaultParagraphFont"/>
    <w:uiPriority w:val="99"/>
    <w:semiHidden/>
    <w:rsid w:val="00682010"/>
    <w:rPr>
      <w:rFonts w:ascii="Lucida Grande" w:hAnsi="Lucida Grande"/>
      <w:sz w:val="18"/>
      <w:szCs w:val="18"/>
    </w:rPr>
  </w:style>
  <w:style w:type="paragraph" w:styleId="FootnoteText">
    <w:name w:val="footnote text"/>
    <w:basedOn w:val="Normal"/>
    <w:link w:val="FootnoteTextChar"/>
    <w:uiPriority w:val="99"/>
    <w:rsid w:val="00FA2EE1"/>
    <w:pPr>
      <w:spacing w:after="0"/>
    </w:pPr>
    <w:rPr>
      <w:sz w:val="20"/>
    </w:rPr>
  </w:style>
  <w:style w:type="character" w:customStyle="1" w:styleId="FootnoteTextChar">
    <w:name w:val="Footnote Text Char"/>
    <w:basedOn w:val="DefaultParagraphFont"/>
    <w:link w:val="FootnoteText"/>
    <w:uiPriority w:val="99"/>
    <w:rsid w:val="00FA2EE1"/>
    <w:rPr>
      <w:sz w:val="20"/>
    </w:rPr>
  </w:style>
  <w:style w:type="character" w:styleId="FootnoteReference">
    <w:name w:val="footnote reference"/>
    <w:basedOn w:val="DefaultParagraphFont"/>
    <w:uiPriority w:val="99"/>
    <w:rsid w:val="001C7980"/>
    <w:rPr>
      <w:vertAlign w:val="superscript"/>
    </w:rPr>
  </w:style>
  <w:style w:type="character" w:customStyle="1" w:styleId="Heading4Char">
    <w:name w:val="Heading 4 Char"/>
    <w:basedOn w:val="DefaultParagraphFont"/>
    <w:link w:val="Heading4"/>
    <w:uiPriority w:val="9"/>
    <w:rsid w:val="003576B2"/>
    <w:rPr>
      <w:rFonts w:asciiTheme="majorHAnsi" w:eastAsiaTheme="majorEastAsia" w:hAnsiTheme="majorHAnsi" w:cstheme="majorBidi"/>
      <w:b/>
      <w:bCs/>
      <w:smallCaps/>
      <w:color w:val="3071C3" w:themeColor="text2" w:themeTint="BF"/>
      <w:spacing w:val="20"/>
    </w:rPr>
  </w:style>
  <w:style w:type="character" w:customStyle="1" w:styleId="FootnoteCharacters">
    <w:name w:val="Footnote Characters"/>
    <w:rsid w:val="00551BF1"/>
  </w:style>
  <w:style w:type="paragraph" w:styleId="BodyText">
    <w:name w:val="Body Text"/>
    <w:basedOn w:val="Normal"/>
    <w:link w:val="BodyTextChar"/>
    <w:rsid w:val="00551BF1"/>
    <w:pPr>
      <w:widowControl w:val="0"/>
      <w:suppressAutoHyphens/>
      <w:spacing w:after="120"/>
    </w:pPr>
    <w:rPr>
      <w:rFonts w:ascii="Times New Roman" w:eastAsia="Lucida Sans Unicode" w:hAnsi="Times New Roman" w:cs="Times New Roman"/>
      <w:kern w:val="1"/>
    </w:rPr>
  </w:style>
  <w:style w:type="character" w:customStyle="1" w:styleId="BodyTextChar">
    <w:name w:val="Body Text Char"/>
    <w:basedOn w:val="DefaultParagraphFont"/>
    <w:link w:val="BodyText"/>
    <w:rsid w:val="00551BF1"/>
    <w:rPr>
      <w:rFonts w:ascii="Times New Roman" w:eastAsia="Lucida Sans Unicode" w:hAnsi="Times New Roman" w:cs="Times New Roman"/>
      <w:kern w:val="1"/>
    </w:rPr>
  </w:style>
  <w:style w:type="paragraph" w:customStyle="1" w:styleId="TableContents">
    <w:name w:val="Table Contents"/>
    <w:basedOn w:val="Normal"/>
    <w:rsid w:val="00551BF1"/>
    <w:pPr>
      <w:widowControl w:val="0"/>
      <w:suppressLineNumbers/>
      <w:suppressAutoHyphens/>
      <w:spacing w:after="0"/>
    </w:pPr>
    <w:rPr>
      <w:rFonts w:ascii="Times New Roman" w:eastAsia="Lucida Sans Unicode" w:hAnsi="Times New Roman" w:cs="Times New Roman"/>
      <w:kern w:val="1"/>
    </w:rPr>
  </w:style>
  <w:style w:type="paragraph" w:styleId="ListParagraph">
    <w:name w:val="List Paragraph"/>
    <w:basedOn w:val="Normal"/>
    <w:uiPriority w:val="34"/>
    <w:qFormat/>
    <w:rsid w:val="003576B2"/>
    <w:pPr>
      <w:ind w:left="720"/>
      <w:contextualSpacing/>
    </w:pPr>
  </w:style>
  <w:style w:type="character" w:styleId="CommentReference">
    <w:name w:val="annotation reference"/>
    <w:basedOn w:val="DefaultParagraphFont"/>
    <w:uiPriority w:val="99"/>
    <w:rsid w:val="005D75E5"/>
    <w:rPr>
      <w:sz w:val="16"/>
      <w:szCs w:val="16"/>
    </w:rPr>
  </w:style>
  <w:style w:type="paragraph" w:styleId="CommentText">
    <w:name w:val="annotation text"/>
    <w:basedOn w:val="Normal"/>
    <w:link w:val="CommentTextChar"/>
    <w:uiPriority w:val="99"/>
    <w:rsid w:val="005D75E5"/>
  </w:style>
  <w:style w:type="character" w:customStyle="1" w:styleId="CommentTextChar">
    <w:name w:val="Comment Text Char"/>
    <w:basedOn w:val="DefaultParagraphFont"/>
    <w:link w:val="CommentText"/>
    <w:uiPriority w:val="99"/>
    <w:rsid w:val="005D75E5"/>
    <w:rPr>
      <w:sz w:val="20"/>
      <w:szCs w:val="20"/>
    </w:rPr>
  </w:style>
  <w:style w:type="paragraph" w:styleId="CommentSubject">
    <w:name w:val="annotation subject"/>
    <w:basedOn w:val="CommentText"/>
    <w:next w:val="CommentText"/>
    <w:link w:val="CommentSubjectChar"/>
    <w:rsid w:val="005D75E5"/>
    <w:rPr>
      <w:b/>
      <w:bCs/>
    </w:rPr>
  </w:style>
  <w:style w:type="character" w:customStyle="1" w:styleId="CommentSubjectChar">
    <w:name w:val="Comment Subject Char"/>
    <w:basedOn w:val="CommentTextChar"/>
    <w:link w:val="CommentSubject"/>
    <w:rsid w:val="005D75E5"/>
    <w:rPr>
      <w:b/>
      <w:bCs/>
      <w:sz w:val="20"/>
      <w:szCs w:val="20"/>
    </w:rPr>
  </w:style>
  <w:style w:type="character" w:customStyle="1" w:styleId="BalloonTextChar1">
    <w:name w:val="Balloon Text Char1"/>
    <w:basedOn w:val="DefaultParagraphFont"/>
    <w:link w:val="BalloonText"/>
    <w:rsid w:val="005D75E5"/>
    <w:rPr>
      <w:rFonts w:ascii="Tahoma" w:hAnsi="Tahoma" w:cs="Tahoma"/>
      <w:sz w:val="16"/>
      <w:szCs w:val="16"/>
    </w:rPr>
  </w:style>
  <w:style w:type="character" w:styleId="Hyperlink">
    <w:name w:val="Hyperlink"/>
    <w:basedOn w:val="DefaultParagraphFont"/>
    <w:rsid w:val="00ED5107"/>
    <w:rPr>
      <w:color w:val="0000FF" w:themeColor="hyperlink"/>
      <w:u w:val="single"/>
    </w:rPr>
  </w:style>
  <w:style w:type="character" w:customStyle="1" w:styleId="character-cit1">
    <w:name w:val="character-cit1"/>
    <w:basedOn w:val="DefaultParagraphFont"/>
    <w:rsid w:val="004567EA"/>
    <w:rPr>
      <w:color w:val="FF0000"/>
    </w:rPr>
  </w:style>
  <w:style w:type="character" w:styleId="FollowedHyperlink">
    <w:name w:val="FollowedHyperlink"/>
    <w:basedOn w:val="DefaultParagraphFont"/>
    <w:rsid w:val="00C478CE"/>
    <w:rPr>
      <w:color w:val="800080" w:themeColor="followedHyperlink"/>
      <w:u w:val="single"/>
    </w:rPr>
  </w:style>
  <w:style w:type="character" w:customStyle="1" w:styleId="Heading1Char">
    <w:name w:val="Heading 1 Char"/>
    <w:basedOn w:val="DefaultParagraphFont"/>
    <w:link w:val="Heading1"/>
    <w:uiPriority w:val="9"/>
    <w:rsid w:val="00E04284"/>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C00EB"/>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B47C9"/>
    <w:rPr>
      <w:rFonts w:asciiTheme="majorHAnsi" w:eastAsiaTheme="majorEastAsia" w:hAnsiTheme="majorHAnsi" w:cstheme="majorBidi"/>
      <w:smallCaps/>
      <w:color w:val="1F497D" w:themeColor="text2"/>
      <w:spacing w:val="20"/>
      <w:sz w:val="24"/>
      <w:szCs w:val="24"/>
    </w:rPr>
  </w:style>
  <w:style w:type="character" w:customStyle="1" w:styleId="Heading5Char">
    <w:name w:val="Heading 5 Char"/>
    <w:basedOn w:val="DefaultParagraphFont"/>
    <w:link w:val="Heading5"/>
    <w:uiPriority w:val="9"/>
    <w:rsid w:val="003576B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3576B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3576B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3576B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3576B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3576B2"/>
    <w:rPr>
      <w:b/>
      <w:bCs/>
      <w:smallCaps/>
      <w:color w:val="1F497D" w:themeColor="text2"/>
      <w:spacing w:val="10"/>
      <w:sz w:val="18"/>
      <w:szCs w:val="18"/>
    </w:rPr>
  </w:style>
  <w:style w:type="paragraph" w:styleId="Title">
    <w:name w:val="Title"/>
    <w:next w:val="Normal"/>
    <w:link w:val="TitleChar"/>
    <w:uiPriority w:val="10"/>
    <w:qFormat/>
    <w:rsid w:val="003576B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76B2"/>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76B2"/>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76B2"/>
    <w:rPr>
      <w:smallCaps/>
      <w:color w:val="938953" w:themeColor="background2" w:themeShade="7F"/>
      <w:spacing w:val="5"/>
      <w:sz w:val="28"/>
      <w:szCs w:val="28"/>
    </w:rPr>
  </w:style>
  <w:style w:type="character" w:styleId="Strong">
    <w:name w:val="Strong"/>
    <w:uiPriority w:val="22"/>
    <w:qFormat/>
    <w:rsid w:val="003576B2"/>
    <w:rPr>
      <w:b/>
      <w:bCs/>
      <w:spacing w:val="0"/>
    </w:rPr>
  </w:style>
  <w:style w:type="character" w:styleId="Emphasis">
    <w:name w:val="Emphasis"/>
    <w:uiPriority w:val="20"/>
    <w:qFormat/>
    <w:rsid w:val="003576B2"/>
    <w:rPr>
      <w:b/>
      <w:bCs/>
      <w:smallCaps/>
      <w:dstrike w:val="0"/>
      <w:color w:val="5A5A5A" w:themeColor="text1" w:themeTint="A5"/>
      <w:spacing w:val="20"/>
      <w:kern w:val="0"/>
      <w:vertAlign w:val="baseline"/>
    </w:rPr>
  </w:style>
  <w:style w:type="paragraph" w:styleId="NoSpacing">
    <w:name w:val="No Spacing"/>
    <w:basedOn w:val="Normal"/>
    <w:uiPriority w:val="1"/>
    <w:qFormat/>
    <w:rsid w:val="003576B2"/>
    <w:pPr>
      <w:spacing w:after="0" w:line="240" w:lineRule="auto"/>
    </w:pPr>
  </w:style>
  <w:style w:type="paragraph" w:styleId="Quote">
    <w:name w:val="Quote"/>
    <w:basedOn w:val="Normal"/>
    <w:next w:val="Normal"/>
    <w:link w:val="QuoteChar"/>
    <w:uiPriority w:val="29"/>
    <w:qFormat/>
    <w:rsid w:val="003576B2"/>
    <w:rPr>
      <w:i/>
      <w:iCs/>
    </w:rPr>
  </w:style>
  <w:style w:type="character" w:customStyle="1" w:styleId="QuoteChar">
    <w:name w:val="Quote Char"/>
    <w:basedOn w:val="DefaultParagraphFont"/>
    <w:link w:val="Quote"/>
    <w:uiPriority w:val="29"/>
    <w:rsid w:val="003576B2"/>
    <w:rPr>
      <w:i/>
      <w:iCs/>
      <w:color w:val="5A5A5A" w:themeColor="text1" w:themeTint="A5"/>
      <w:sz w:val="20"/>
      <w:szCs w:val="20"/>
    </w:rPr>
  </w:style>
  <w:style w:type="paragraph" w:styleId="IntenseQuote">
    <w:name w:val="Intense Quote"/>
    <w:basedOn w:val="Normal"/>
    <w:next w:val="Normal"/>
    <w:link w:val="IntenseQuoteChar"/>
    <w:uiPriority w:val="30"/>
    <w:qFormat/>
    <w:rsid w:val="003576B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76B2"/>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3576B2"/>
    <w:rPr>
      <w:smallCaps/>
      <w:dstrike w:val="0"/>
      <w:color w:val="5A5A5A" w:themeColor="text1" w:themeTint="A5"/>
      <w:vertAlign w:val="baseline"/>
    </w:rPr>
  </w:style>
  <w:style w:type="character" w:styleId="IntenseEmphasis">
    <w:name w:val="Intense Emphasis"/>
    <w:uiPriority w:val="21"/>
    <w:qFormat/>
    <w:rsid w:val="003576B2"/>
    <w:rPr>
      <w:b/>
      <w:bCs/>
      <w:smallCaps/>
      <w:color w:val="4F81BD" w:themeColor="accent1"/>
      <w:spacing w:val="40"/>
    </w:rPr>
  </w:style>
  <w:style w:type="character" w:styleId="SubtleReference">
    <w:name w:val="Subtle Reference"/>
    <w:uiPriority w:val="31"/>
    <w:qFormat/>
    <w:rsid w:val="003576B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76B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76B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76B2"/>
    <w:pPr>
      <w:outlineLvl w:val="9"/>
    </w:pPr>
  </w:style>
  <w:style w:type="paragraph" w:styleId="Header">
    <w:name w:val="header"/>
    <w:basedOn w:val="Normal"/>
    <w:link w:val="HeaderChar"/>
    <w:rsid w:val="003576B2"/>
    <w:pPr>
      <w:tabs>
        <w:tab w:val="center" w:pos="4680"/>
        <w:tab w:val="right" w:pos="9360"/>
      </w:tabs>
      <w:spacing w:after="0" w:line="240" w:lineRule="auto"/>
    </w:pPr>
  </w:style>
  <w:style w:type="character" w:customStyle="1" w:styleId="HeaderChar">
    <w:name w:val="Header Char"/>
    <w:basedOn w:val="DefaultParagraphFont"/>
    <w:link w:val="Header"/>
    <w:rsid w:val="003576B2"/>
    <w:rPr>
      <w:color w:val="5A5A5A" w:themeColor="text1" w:themeTint="A5"/>
    </w:rPr>
  </w:style>
  <w:style w:type="paragraph" w:styleId="Footer">
    <w:name w:val="footer"/>
    <w:basedOn w:val="Normal"/>
    <w:link w:val="FooterChar"/>
    <w:uiPriority w:val="99"/>
    <w:rsid w:val="0035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B2"/>
    <w:rPr>
      <w:color w:val="5A5A5A" w:themeColor="text1" w:themeTint="A5"/>
    </w:rPr>
  </w:style>
  <w:style w:type="paragraph" w:customStyle="1" w:styleId="Normal1">
    <w:name w:val="Normal1"/>
    <w:rsid w:val="0002770B"/>
    <w:pPr>
      <w:spacing w:after="0" w:line="276" w:lineRule="auto"/>
      <w:ind w:left="0"/>
    </w:pPr>
    <w:rPr>
      <w:rFonts w:ascii="Arial" w:eastAsia="Arial" w:hAnsi="Arial" w:cs="Arial"/>
      <w:color w:val="000000"/>
      <w:sz w:val="22"/>
      <w:szCs w:val="20"/>
      <w:lang w:bidi="ar-SA"/>
    </w:rPr>
  </w:style>
  <w:style w:type="character" w:customStyle="1" w:styleId="apple-converted-space">
    <w:name w:val="apple-converted-space"/>
    <w:basedOn w:val="DefaultParagraphFont"/>
    <w:rsid w:val="00AE3920"/>
  </w:style>
  <w:style w:type="paragraph" w:styleId="NormalWeb">
    <w:name w:val="Normal (Web)"/>
    <w:basedOn w:val="Normal"/>
    <w:uiPriority w:val="99"/>
    <w:unhideWhenUsed/>
    <w:rsid w:val="0045219C"/>
    <w:pPr>
      <w:spacing w:before="100" w:beforeAutospacing="1" w:after="100" w:afterAutospacing="1" w:line="240" w:lineRule="auto"/>
      <w:ind w:left="0"/>
    </w:pPr>
    <w:rPr>
      <w:rFonts w:ascii="Times" w:hAnsi="Times" w:cs="Times New Roman"/>
      <w:sz w:val="20"/>
      <w:szCs w:val="20"/>
      <w:lang w:bidi="ar-SA"/>
    </w:rPr>
  </w:style>
  <w:style w:type="character" w:customStyle="1" w:styleId="eop">
    <w:name w:val="eop"/>
    <w:basedOn w:val="DefaultParagraphFont"/>
    <w:rsid w:val="00831A26"/>
  </w:style>
  <w:style w:type="character" w:customStyle="1" w:styleId="normaltextrun">
    <w:name w:val="normaltextrun"/>
    <w:basedOn w:val="DefaultParagraphFont"/>
    <w:rsid w:val="00831A26"/>
  </w:style>
  <w:style w:type="character" w:styleId="PageNumber">
    <w:name w:val="page number"/>
    <w:basedOn w:val="DefaultParagraphFont"/>
    <w:semiHidden/>
    <w:unhideWhenUsed/>
    <w:rsid w:val="00921FC7"/>
  </w:style>
</w:styles>
</file>

<file path=word/webSettings.xml><?xml version="1.0" encoding="utf-8"?>
<w:webSettings xmlns:r="http://schemas.openxmlformats.org/officeDocument/2006/relationships" xmlns:w="http://schemas.openxmlformats.org/wordprocessingml/2006/main">
  <w:divs>
    <w:div w:id="1207708">
      <w:bodyDiv w:val="1"/>
      <w:marLeft w:val="0"/>
      <w:marRight w:val="0"/>
      <w:marTop w:val="0"/>
      <w:marBottom w:val="0"/>
      <w:divBdr>
        <w:top w:val="none" w:sz="0" w:space="0" w:color="auto"/>
        <w:left w:val="none" w:sz="0" w:space="0" w:color="auto"/>
        <w:bottom w:val="none" w:sz="0" w:space="0" w:color="auto"/>
        <w:right w:val="none" w:sz="0" w:space="0" w:color="auto"/>
      </w:divBdr>
      <w:divsChild>
        <w:div w:id="683824574">
          <w:marLeft w:val="0"/>
          <w:marRight w:val="0"/>
          <w:marTop w:val="0"/>
          <w:marBottom w:val="0"/>
          <w:divBdr>
            <w:top w:val="none" w:sz="0" w:space="0" w:color="auto"/>
            <w:left w:val="none" w:sz="0" w:space="0" w:color="auto"/>
            <w:bottom w:val="none" w:sz="0" w:space="0" w:color="auto"/>
            <w:right w:val="none" w:sz="0" w:space="0" w:color="auto"/>
          </w:divBdr>
          <w:divsChild>
            <w:div w:id="280770755">
              <w:marLeft w:val="0"/>
              <w:marRight w:val="0"/>
              <w:marTop w:val="0"/>
              <w:marBottom w:val="0"/>
              <w:divBdr>
                <w:top w:val="none" w:sz="0" w:space="0" w:color="auto"/>
                <w:left w:val="none" w:sz="0" w:space="0" w:color="auto"/>
                <w:bottom w:val="none" w:sz="0" w:space="0" w:color="auto"/>
                <w:right w:val="none" w:sz="0" w:space="0" w:color="auto"/>
              </w:divBdr>
              <w:divsChild>
                <w:div w:id="6798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6">
      <w:bodyDiv w:val="1"/>
      <w:marLeft w:val="0"/>
      <w:marRight w:val="0"/>
      <w:marTop w:val="0"/>
      <w:marBottom w:val="0"/>
      <w:divBdr>
        <w:top w:val="none" w:sz="0" w:space="0" w:color="auto"/>
        <w:left w:val="none" w:sz="0" w:space="0" w:color="auto"/>
        <w:bottom w:val="none" w:sz="0" w:space="0" w:color="auto"/>
        <w:right w:val="none" w:sz="0" w:space="0" w:color="auto"/>
      </w:divBdr>
      <w:divsChild>
        <w:div w:id="1823548191">
          <w:marLeft w:val="0"/>
          <w:marRight w:val="0"/>
          <w:marTop w:val="0"/>
          <w:marBottom w:val="0"/>
          <w:divBdr>
            <w:top w:val="none" w:sz="0" w:space="0" w:color="auto"/>
            <w:left w:val="none" w:sz="0" w:space="0" w:color="auto"/>
            <w:bottom w:val="none" w:sz="0" w:space="0" w:color="auto"/>
            <w:right w:val="none" w:sz="0" w:space="0" w:color="auto"/>
          </w:divBdr>
          <w:divsChild>
            <w:div w:id="741759122">
              <w:marLeft w:val="0"/>
              <w:marRight w:val="0"/>
              <w:marTop w:val="0"/>
              <w:marBottom w:val="0"/>
              <w:divBdr>
                <w:top w:val="none" w:sz="0" w:space="0" w:color="auto"/>
                <w:left w:val="none" w:sz="0" w:space="0" w:color="auto"/>
                <w:bottom w:val="none" w:sz="0" w:space="0" w:color="auto"/>
                <w:right w:val="none" w:sz="0" w:space="0" w:color="auto"/>
              </w:divBdr>
              <w:divsChild>
                <w:div w:id="15527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4349">
      <w:bodyDiv w:val="1"/>
      <w:marLeft w:val="0"/>
      <w:marRight w:val="0"/>
      <w:marTop w:val="0"/>
      <w:marBottom w:val="0"/>
      <w:divBdr>
        <w:top w:val="none" w:sz="0" w:space="0" w:color="auto"/>
        <w:left w:val="none" w:sz="0" w:space="0" w:color="auto"/>
        <w:bottom w:val="none" w:sz="0" w:space="0" w:color="auto"/>
        <w:right w:val="none" w:sz="0" w:space="0" w:color="auto"/>
      </w:divBdr>
      <w:divsChild>
        <w:div w:id="1276905416">
          <w:marLeft w:val="0"/>
          <w:marRight w:val="0"/>
          <w:marTop w:val="0"/>
          <w:marBottom w:val="0"/>
          <w:divBdr>
            <w:top w:val="none" w:sz="0" w:space="0" w:color="auto"/>
            <w:left w:val="none" w:sz="0" w:space="0" w:color="auto"/>
            <w:bottom w:val="none" w:sz="0" w:space="0" w:color="auto"/>
            <w:right w:val="none" w:sz="0" w:space="0" w:color="auto"/>
          </w:divBdr>
          <w:divsChild>
            <w:div w:id="1991059808">
              <w:marLeft w:val="0"/>
              <w:marRight w:val="0"/>
              <w:marTop w:val="0"/>
              <w:marBottom w:val="0"/>
              <w:divBdr>
                <w:top w:val="none" w:sz="0" w:space="0" w:color="auto"/>
                <w:left w:val="none" w:sz="0" w:space="0" w:color="auto"/>
                <w:bottom w:val="none" w:sz="0" w:space="0" w:color="auto"/>
                <w:right w:val="none" w:sz="0" w:space="0" w:color="auto"/>
              </w:divBdr>
              <w:divsChild>
                <w:div w:id="1251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587">
      <w:bodyDiv w:val="1"/>
      <w:marLeft w:val="0"/>
      <w:marRight w:val="0"/>
      <w:marTop w:val="0"/>
      <w:marBottom w:val="0"/>
      <w:divBdr>
        <w:top w:val="none" w:sz="0" w:space="0" w:color="auto"/>
        <w:left w:val="none" w:sz="0" w:space="0" w:color="auto"/>
        <w:bottom w:val="none" w:sz="0" w:space="0" w:color="auto"/>
        <w:right w:val="none" w:sz="0" w:space="0" w:color="auto"/>
      </w:divBdr>
    </w:div>
    <w:div w:id="111947763">
      <w:bodyDiv w:val="1"/>
      <w:marLeft w:val="0"/>
      <w:marRight w:val="0"/>
      <w:marTop w:val="0"/>
      <w:marBottom w:val="0"/>
      <w:divBdr>
        <w:top w:val="none" w:sz="0" w:space="0" w:color="auto"/>
        <w:left w:val="none" w:sz="0" w:space="0" w:color="auto"/>
        <w:bottom w:val="none" w:sz="0" w:space="0" w:color="auto"/>
        <w:right w:val="none" w:sz="0" w:space="0" w:color="auto"/>
      </w:divBdr>
    </w:div>
    <w:div w:id="161627397">
      <w:bodyDiv w:val="1"/>
      <w:marLeft w:val="0"/>
      <w:marRight w:val="0"/>
      <w:marTop w:val="0"/>
      <w:marBottom w:val="0"/>
      <w:divBdr>
        <w:top w:val="none" w:sz="0" w:space="0" w:color="auto"/>
        <w:left w:val="none" w:sz="0" w:space="0" w:color="auto"/>
        <w:bottom w:val="none" w:sz="0" w:space="0" w:color="auto"/>
        <w:right w:val="none" w:sz="0" w:space="0" w:color="auto"/>
      </w:divBdr>
      <w:divsChild>
        <w:div w:id="674187499">
          <w:marLeft w:val="0"/>
          <w:marRight w:val="0"/>
          <w:marTop w:val="0"/>
          <w:marBottom w:val="0"/>
          <w:divBdr>
            <w:top w:val="none" w:sz="0" w:space="0" w:color="auto"/>
            <w:left w:val="none" w:sz="0" w:space="0" w:color="auto"/>
            <w:bottom w:val="none" w:sz="0" w:space="0" w:color="auto"/>
            <w:right w:val="none" w:sz="0" w:space="0" w:color="auto"/>
          </w:divBdr>
          <w:divsChild>
            <w:div w:id="860167891">
              <w:marLeft w:val="0"/>
              <w:marRight w:val="0"/>
              <w:marTop w:val="0"/>
              <w:marBottom w:val="0"/>
              <w:divBdr>
                <w:top w:val="none" w:sz="0" w:space="0" w:color="auto"/>
                <w:left w:val="none" w:sz="0" w:space="0" w:color="auto"/>
                <w:bottom w:val="none" w:sz="0" w:space="0" w:color="auto"/>
                <w:right w:val="none" w:sz="0" w:space="0" w:color="auto"/>
              </w:divBdr>
              <w:divsChild>
                <w:div w:id="921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763">
      <w:bodyDiv w:val="1"/>
      <w:marLeft w:val="0"/>
      <w:marRight w:val="0"/>
      <w:marTop w:val="0"/>
      <w:marBottom w:val="0"/>
      <w:divBdr>
        <w:top w:val="none" w:sz="0" w:space="0" w:color="auto"/>
        <w:left w:val="none" w:sz="0" w:space="0" w:color="auto"/>
        <w:bottom w:val="none" w:sz="0" w:space="0" w:color="auto"/>
        <w:right w:val="none" w:sz="0" w:space="0" w:color="auto"/>
      </w:divBdr>
    </w:div>
    <w:div w:id="203686513">
      <w:bodyDiv w:val="1"/>
      <w:marLeft w:val="0"/>
      <w:marRight w:val="0"/>
      <w:marTop w:val="0"/>
      <w:marBottom w:val="0"/>
      <w:divBdr>
        <w:top w:val="none" w:sz="0" w:space="0" w:color="auto"/>
        <w:left w:val="none" w:sz="0" w:space="0" w:color="auto"/>
        <w:bottom w:val="none" w:sz="0" w:space="0" w:color="auto"/>
        <w:right w:val="none" w:sz="0" w:space="0" w:color="auto"/>
      </w:divBdr>
      <w:divsChild>
        <w:div w:id="1474179586">
          <w:marLeft w:val="0"/>
          <w:marRight w:val="0"/>
          <w:marTop w:val="0"/>
          <w:marBottom w:val="0"/>
          <w:divBdr>
            <w:top w:val="none" w:sz="0" w:space="0" w:color="auto"/>
            <w:left w:val="none" w:sz="0" w:space="0" w:color="auto"/>
            <w:bottom w:val="none" w:sz="0" w:space="0" w:color="auto"/>
            <w:right w:val="none" w:sz="0" w:space="0" w:color="auto"/>
          </w:divBdr>
          <w:divsChild>
            <w:div w:id="1664580272">
              <w:marLeft w:val="0"/>
              <w:marRight w:val="0"/>
              <w:marTop w:val="0"/>
              <w:marBottom w:val="0"/>
              <w:divBdr>
                <w:top w:val="none" w:sz="0" w:space="0" w:color="auto"/>
                <w:left w:val="none" w:sz="0" w:space="0" w:color="auto"/>
                <w:bottom w:val="none" w:sz="0" w:space="0" w:color="auto"/>
                <w:right w:val="none" w:sz="0" w:space="0" w:color="auto"/>
              </w:divBdr>
              <w:divsChild>
                <w:div w:id="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280">
      <w:bodyDiv w:val="1"/>
      <w:marLeft w:val="0"/>
      <w:marRight w:val="0"/>
      <w:marTop w:val="0"/>
      <w:marBottom w:val="0"/>
      <w:divBdr>
        <w:top w:val="none" w:sz="0" w:space="0" w:color="auto"/>
        <w:left w:val="none" w:sz="0" w:space="0" w:color="auto"/>
        <w:bottom w:val="none" w:sz="0" w:space="0" w:color="auto"/>
        <w:right w:val="none" w:sz="0" w:space="0" w:color="auto"/>
      </w:divBdr>
      <w:divsChild>
        <w:div w:id="157232128">
          <w:marLeft w:val="0"/>
          <w:marRight w:val="0"/>
          <w:marTop w:val="0"/>
          <w:marBottom w:val="0"/>
          <w:divBdr>
            <w:top w:val="none" w:sz="0" w:space="0" w:color="auto"/>
            <w:left w:val="none" w:sz="0" w:space="0" w:color="auto"/>
            <w:bottom w:val="none" w:sz="0" w:space="0" w:color="auto"/>
            <w:right w:val="none" w:sz="0" w:space="0" w:color="auto"/>
          </w:divBdr>
          <w:divsChild>
            <w:div w:id="1854761111">
              <w:marLeft w:val="0"/>
              <w:marRight w:val="0"/>
              <w:marTop w:val="0"/>
              <w:marBottom w:val="0"/>
              <w:divBdr>
                <w:top w:val="none" w:sz="0" w:space="0" w:color="auto"/>
                <w:left w:val="none" w:sz="0" w:space="0" w:color="auto"/>
                <w:bottom w:val="none" w:sz="0" w:space="0" w:color="auto"/>
                <w:right w:val="none" w:sz="0" w:space="0" w:color="auto"/>
              </w:divBdr>
              <w:divsChild>
                <w:div w:id="7618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4411">
      <w:bodyDiv w:val="1"/>
      <w:marLeft w:val="0"/>
      <w:marRight w:val="0"/>
      <w:marTop w:val="0"/>
      <w:marBottom w:val="0"/>
      <w:divBdr>
        <w:top w:val="none" w:sz="0" w:space="0" w:color="auto"/>
        <w:left w:val="none" w:sz="0" w:space="0" w:color="auto"/>
        <w:bottom w:val="none" w:sz="0" w:space="0" w:color="auto"/>
        <w:right w:val="none" w:sz="0" w:space="0" w:color="auto"/>
      </w:divBdr>
    </w:div>
    <w:div w:id="307784482">
      <w:bodyDiv w:val="1"/>
      <w:marLeft w:val="0"/>
      <w:marRight w:val="0"/>
      <w:marTop w:val="0"/>
      <w:marBottom w:val="0"/>
      <w:divBdr>
        <w:top w:val="none" w:sz="0" w:space="0" w:color="auto"/>
        <w:left w:val="none" w:sz="0" w:space="0" w:color="auto"/>
        <w:bottom w:val="none" w:sz="0" w:space="0" w:color="auto"/>
        <w:right w:val="none" w:sz="0" w:space="0" w:color="auto"/>
      </w:divBdr>
    </w:div>
    <w:div w:id="412361310">
      <w:bodyDiv w:val="1"/>
      <w:marLeft w:val="0"/>
      <w:marRight w:val="0"/>
      <w:marTop w:val="0"/>
      <w:marBottom w:val="0"/>
      <w:divBdr>
        <w:top w:val="none" w:sz="0" w:space="0" w:color="auto"/>
        <w:left w:val="none" w:sz="0" w:space="0" w:color="auto"/>
        <w:bottom w:val="none" w:sz="0" w:space="0" w:color="auto"/>
        <w:right w:val="none" w:sz="0" w:space="0" w:color="auto"/>
      </w:divBdr>
    </w:div>
    <w:div w:id="414672096">
      <w:bodyDiv w:val="1"/>
      <w:marLeft w:val="0"/>
      <w:marRight w:val="0"/>
      <w:marTop w:val="0"/>
      <w:marBottom w:val="0"/>
      <w:divBdr>
        <w:top w:val="none" w:sz="0" w:space="0" w:color="auto"/>
        <w:left w:val="none" w:sz="0" w:space="0" w:color="auto"/>
        <w:bottom w:val="none" w:sz="0" w:space="0" w:color="auto"/>
        <w:right w:val="none" w:sz="0" w:space="0" w:color="auto"/>
      </w:divBdr>
    </w:div>
    <w:div w:id="438917474">
      <w:bodyDiv w:val="1"/>
      <w:marLeft w:val="0"/>
      <w:marRight w:val="0"/>
      <w:marTop w:val="0"/>
      <w:marBottom w:val="0"/>
      <w:divBdr>
        <w:top w:val="none" w:sz="0" w:space="0" w:color="auto"/>
        <w:left w:val="none" w:sz="0" w:space="0" w:color="auto"/>
        <w:bottom w:val="none" w:sz="0" w:space="0" w:color="auto"/>
        <w:right w:val="none" w:sz="0" w:space="0" w:color="auto"/>
      </w:divBdr>
    </w:div>
    <w:div w:id="494536307">
      <w:bodyDiv w:val="1"/>
      <w:marLeft w:val="0"/>
      <w:marRight w:val="0"/>
      <w:marTop w:val="0"/>
      <w:marBottom w:val="0"/>
      <w:divBdr>
        <w:top w:val="none" w:sz="0" w:space="0" w:color="auto"/>
        <w:left w:val="none" w:sz="0" w:space="0" w:color="auto"/>
        <w:bottom w:val="none" w:sz="0" w:space="0" w:color="auto"/>
        <w:right w:val="none" w:sz="0" w:space="0" w:color="auto"/>
      </w:divBdr>
    </w:div>
    <w:div w:id="507250796">
      <w:bodyDiv w:val="1"/>
      <w:marLeft w:val="0"/>
      <w:marRight w:val="0"/>
      <w:marTop w:val="0"/>
      <w:marBottom w:val="0"/>
      <w:divBdr>
        <w:top w:val="none" w:sz="0" w:space="0" w:color="auto"/>
        <w:left w:val="none" w:sz="0" w:space="0" w:color="auto"/>
        <w:bottom w:val="none" w:sz="0" w:space="0" w:color="auto"/>
        <w:right w:val="none" w:sz="0" w:space="0" w:color="auto"/>
      </w:divBdr>
    </w:div>
    <w:div w:id="514266242">
      <w:bodyDiv w:val="1"/>
      <w:marLeft w:val="0"/>
      <w:marRight w:val="0"/>
      <w:marTop w:val="0"/>
      <w:marBottom w:val="0"/>
      <w:divBdr>
        <w:top w:val="none" w:sz="0" w:space="0" w:color="auto"/>
        <w:left w:val="none" w:sz="0" w:space="0" w:color="auto"/>
        <w:bottom w:val="none" w:sz="0" w:space="0" w:color="auto"/>
        <w:right w:val="none" w:sz="0" w:space="0" w:color="auto"/>
      </w:divBdr>
    </w:div>
    <w:div w:id="524174743">
      <w:bodyDiv w:val="1"/>
      <w:marLeft w:val="0"/>
      <w:marRight w:val="0"/>
      <w:marTop w:val="0"/>
      <w:marBottom w:val="0"/>
      <w:divBdr>
        <w:top w:val="none" w:sz="0" w:space="0" w:color="auto"/>
        <w:left w:val="none" w:sz="0" w:space="0" w:color="auto"/>
        <w:bottom w:val="none" w:sz="0" w:space="0" w:color="auto"/>
        <w:right w:val="none" w:sz="0" w:space="0" w:color="auto"/>
      </w:divBdr>
    </w:div>
    <w:div w:id="526874788">
      <w:bodyDiv w:val="1"/>
      <w:marLeft w:val="0"/>
      <w:marRight w:val="0"/>
      <w:marTop w:val="0"/>
      <w:marBottom w:val="0"/>
      <w:divBdr>
        <w:top w:val="none" w:sz="0" w:space="0" w:color="auto"/>
        <w:left w:val="none" w:sz="0" w:space="0" w:color="auto"/>
        <w:bottom w:val="none" w:sz="0" w:space="0" w:color="auto"/>
        <w:right w:val="none" w:sz="0" w:space="0" w:color="auto"/>
      </w:divBdr>
    </w:div>
    <w:div w:id="544491907">
      <w:bodyDiv w:val="1"/>
      <w:marLeft w:val="0"/>
      <w:marRight w:val="0"/>
      <w:marTop w:val="0"/>
      <w:marBottom w:val="0"/>
      <w:divBdr>
        <w:top w:val="none" w:sz="0" w:space="0" w:color="auto"/>
        <w:left w:val="none" w:sz="0" w:space="0" w:color="auto"/>
        <w:bottom w:val="none" w:sz="0" w:space="0" w:color="auto"/>
        <w:right w:val="none" w:sz="0" w:space="0" w:color="auto"/>
      </w:divBdr>
    </w:div>
    <w:div w:id="556623925">
      <w:bodyDiv w:val="1"/>
      <w:marLeft w:val="0"/>
      <w:marRight w:val="0"/>
      <w:marTop w:val="0"/>
      <w:marBottom w:val="0"/>
      <w:divBdr>
        <w:top w:val="none" w:sz="0" w:space="0" w:color="auto"/>
        <w:left w:val="none" w:sz="0" w:space="0" w:color="auto"/>
        <w:bottom w:val="none" w:sz="0" w:space="0" w:color="auto"/>
        <w:right w:val="none" w:sz="0" w:space="0" w:color="auto"/>
      </w:divBdr>
    </w:div>
    <w:div w:id="559631722">
      <w:bodyDiv w:val="1"/>
      <w:marLeft w:val="0"/>
      <w:marRight w:val="0"/>
      <w:marTop w:val="0"/>
      <w:marBottom w:val="0"/>
      <w:divBdr>
        <w:top w:val="none" w:sz="0" w:space="0" w:color="auto"/>
        <w:left w:val="none" w:sz="0" w:space="0" w:color="auto"/>
        <w:bottom w:val="none" w:sz="0" w:space="0" w:color="auto"/>
        <w:right w:val="none" w:sz="0" w:space="0" w:color="auto"/>
      </w:divBdr>
      <w:divsChild>
        <w:div w:id="1210726261">
          <w:marLeft w:val="0"/>
          <w:marRight w:val="0"/>
          <w:marTop w:val="0"/>
          <w:marBottom w:val="0"/>
          <w:divBdr>
            <w:top w:val="none" w:sz="0" w:space="0" w:color="auto"/>
            <w:left w:val="none" w:sz="0" w:space="0" w:color="auto"/>
            <w:bottom w:val="none" w:sz="0" w:space="0" w:color="auto"/>
            <w:right w:val="none" w:sz="0" w:space="0" w:color="auto"/>
          </w:divBdr>
          <w:divsChild>
            <w:div w:id="1919553065">
              <w:marLeft w:val="0"/>
              <w:marRight w:val="0"/>
              <w:marTop w:val="0"/>
              <w:marBottom w:val="0"/>
              <w:divBdr>
                <w:top w:val="none" w:sz="0" w:space="0" w:color="auto"/>
                <w:left w:val="none" w:sz="0" w:space="0" w:color="auto"/>
                <w:bottom w:val="none" w:sz="0" w:space="0" w:color="auto"/>
                <w:right w:val="none" w:sz="0" w:space="0" w:color="auto"/>
              </w:divBdr>
              <w:divsChild>
                <w:div w:id="19231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419">
      <w:bodyDiv w:val="1"/>
      <w:marLeft w:val="0"/>
      <w:marRight w:val="0"/>
      <w:marTop w:val="0"/>
      <w:marBottom w:val="0"/>
      <w:divBdr>
        <w:top w:val="none" w:sz="0" w:space="0" w:color="auto"/>
        <w:left w:val="none" w:sz="0" w:space="0" w:color="auto"/>
        <w:bottom w:val="none" w:sz="0" w:space="0" w:color="auto"/>
        <w:right w:val="none" w:sz="0" w:space="0" w:color="auto"/>
      </w:divBdr>
    </w:div>
    <w:div w:id="689600982">
      <w:bodyDiv w:val="1"/>
      <w:marLeft w:val="0"/>
      <w:marRight w:val="0"/>
      <w:marTop w:val="0"/>
      <w:marBottom w:val="0"/>
      <w:divBdr>
        <w:top w:val="none" w:sz="0" w:space="0" w:color="auto"/>
        <w:left w:val="none" w:sz="0" w:space="0" w:color="auto"/>
        <w:bottom w:val="none" w:sz="0" w:space="0" w:color="auto"/>
        <w:right w:val="none" w:sz="0" w:space="0" w:color="auto"/>
      </w:divBdr>
    </w:div>
    <w:div w:id="709691039">
      <w:bodyDiv w:val="1"/>
      <w:marLeft w:val="0"/>
      <w:marRight w:val="0"/>
      <w:marTop w:val="0"/>
      <w:marBottom w:val="0"/>
      <w:divBdr>
        <w:top w:val="none" w:sz="0" w:space="0" w:color="auto"/>
        <w:left w:val="none" w:sz="0" w:space="0" w:color="auto"/>
        <w:bottom w:val="none" w:sz="0" w:space="0" w:color="auto"/>
        <w:right w:val="none" w:sz="0" w:space="0" w:color="auto"/>
      </w:divBdr>
    </w:div>
    <w:div w:id="761074617">
      <w:bodyDiv w:val="1"/>
      <w:marLeft w:val="0"/>
      <w:marRight w:val="0"/>
      <w:marTop w:val="0"/>
      <w:marBottom w:val="0"/>
      <w:divBdr>
        <w:top w:val="none" w:sz="0" w:space="0" w:color="auto"/>
        <w:left w:val="none" w:sz="0" w:space="0" w:color="auto"/>
        <w:bottom w:val="none" w:sz="0" w:space="0" w:color="auto"/>
        <w:right w:val="none" w:sz="0" w:space="0" w:color="auto"/>
      </w:divBdr>
    </w:div>
    <w:div w:id="796987738">
      <w:bodyDiv w:val="1"/>
      <w:marLeft w:val="0"/>
      <w:marRight w:val="0"/>
      <w:marTop w:val="0"/>
      <w:marBottom w:val="0"/>
      <w:divBdr>
        <w:top w:val="none" w:sz="0" w:space="0" w:color="auto"/>
        <w:left w:val="none" w:sz="0" w:space="0" w:color="auto"/>
        <w:bottom w:val="none" w:sz="0" w:space="0" w:color="auto"/>
        <w:right w:val="none" w:sz="0" w:space="0" w:color="auto"/>
      </w:divBdr>
    </w:div>
    <w:div w:id="813792067">
      <w:bodyDiv w:val="1"/>
      <w:marLeft w:val="0"/>
      <w:marRight w:val="0"/>
      <w:marTop w:val="0"/>
      <w:marBottom w:val="0"/>
      <w:divBdr>
        <w:top w:val="none" w:sz="0" w:space="0" w:color="auto"/>
        <w:left w:val="none" w:sz="0" w:space="0" w:color="auto"/>
        <w:bottom w:val="none" w:sz="0" w:space="0" w:color="auto"/>
        <w:right w:val="none" w:sz="0" w:space="0" w:color="auto"/>
      </w:divBdr>
    </w:div>
    <w:div w:id="843856811">
      <w:bodyDiv w:val="1"/>
      <w:marLeft w:val="0"/>
      <w:marRight w:val="0"/>
      <w:marTop w:val="0"/>
      <w:marBottom w:val="0"/>
      <w:divBdr>
        <w:top w:val="none" w:sz="0" w:space="0" w:color="auto"/>
        <w:left w:val="none" w:sz="0" w:space="0" w:color="auto"/>
        <w:bottom w:val="none" w:sz="0" w:space="0" w:color="auto"/>
        <w:right w:val="none" w:sz="0" w:space="0" w:color="auto"/>
      </w:divBdr>
    </w:div>
    <w:div w:id="862475220">
      <w:bodyDiv w:val="1"/>
      <w:marLeft w:val="0"/>
      <w:marRight w:val="0"/>
      <w:marTop w:val="0"/>
      <w:marBottom w:val="0"/>
      <w:divBdr>
        <w:top w:val="none" w:sz="0" w:space="0" w:color="auto"/>
        <w:left w:val="none" w:sz="0" w:space="0" w:color="auto"/>
        <w:bottom w:val="none" w:sz="0" w:space="0" w:color="auto"/>
        <w:right w:val="none" w:sz="0" w:space="0" w:color="auto"/>
      </w:divBdr>
    </w:div>
    <w:div w:id="877400270">
      <w:bodyDiv w:val="1"/>
      <w:marLeft w:val="0"/>
      <w:marRight w:val="0"/>
      <w:marTop w:val="0"/>
      <w:marBottom w:val="0"/>
      <w:divBdr>
        <w:top w:val="none" w:sz="0" w:space="0" w:color="auto"/>
        <w:left w:val="none" w:sz="0" w:space="0" w:color="auto"/>
        <w:bottom w:val="none" w:sz="0" w:space="0" w:color="auto"/>
        <w:right w:val="none" w:sz="0" w:space="0" w:color="auto"/>
      </w:divBdr>
    </w:div>
    <w:div w:id="975795120">
      <w:bodyDiv w:val="1"/>
      <w:marLeft w:val="0"/>
      <w:marRight w:val="0"/>
      <w:marTop w:val="0"/>
      <w:marBottom w:val="0"/>
      <w:divBdr>
        <w:top w:val="none" w:sz="0" w:space="0" w:color="auto"/>
        <w:left w:val="none" w:sz="0" w:space="0" w:color="auto"/>
        <w:bottom w:val="none" w:sz="0" w:space="0" w:color="auto"/>
        <w:right w:val="none" w:sz="0" w:space="0" w:color="auto"/>
      </w:divBdr>
    </w:div>
    <w:div w:id="1012613320">
      <w:bodyDiv w:val="1"/>
      <w:marLeft w:val="0"/>
      <w:marRight w:val="0"/>
      <w:marTop w:val="0"/>
      <w:marBottom w:val="0"/>
      <w:divBdr>
        <w:top w:val="none" w:sz="0" w:space="0" w:color="auto"/>
        <w:left w:val="none" w:sz="0" w:space="0" w:color="auto"/>
        <w:bottom w:val="none" w:sz="0" w:space="0" w:color="auto"/>
        <w:right w:val="none" w:sz="0" w:space="0" w:color="auto"/>
      </w:divBdr>
    </w:div>
    <w:div w:id="1027101743">
      <w:bodyDiv w:val="1"/>
      <w:marLeft w:val="0"/>
      <w:marRight w:val="0"/>
      <w:marTop w:val="0"/>
      <w:marBottom w:val="0"/>
      <w:divBdr>
        <w:top w:val="none" w:sz="0" w:space="0" w:color="auto"/>
        <w:left w:val="none" w:sz="0" w:space="0" w:color="auto"/>
        <w:bottom w:val="none" w:sz="0" w:space="0" w:color="auto"/>
        <w:right w:val="none" w:sz="0" w:space="0" w:color="auto"/>
      </w:divBdr>
    </w:div>
    <w:div w:id="1039358336">
      <w:bodyDiv w:val="1"/>
      <w:marLeft w:val="0"/>
      <w:marRight w:val="0"/>
      <w:marTop w:val="0"/>
      <w:marBottom w:val="0"/>
      <w:divBdr>
        <w:top w:val="none" w:sz="0" w:space="0" w:color="auto"/>
        <w:left w:val="none" w:sz="0" w:space="0" w:color="auto"/>
        <w:bottom w:val="none" w:sz="0" w:space="0" w:color="auto"/>
        <w:right w:val="none" w:sz="0" w:space="0" w:color="auto"/>
      </w:divBdr>
    </w:div>
    <w:div w:id="1056129850">
      <w:bodyDiv w:val="1"/>
      <w:marLeft w:val="0"/>
      <w:marRight w:val="0"/>
      <w:marTop w:val="0"/>
      <w:marBottom w:val="0"/>
      <w:divBdr>
        <w:top w:val="none" w:sz="0" w:space="0" w:color="auto"/>
        <w:left w:val="none" w:sz="0" w:space="0" w:color="auto"/>
        <w:bottom w:val="none" w:sz="0" w:space="0" w:color="auto"/>
        <w:right w:val="none" w:sz="0" w:space="0" w:color="auto"/>
      </w:divBdr>
      <w:divsChild>
        <w:div w:id="1604531666">
          <w:marLeft w:val="0"/>
          <w:marRight w:val="0"/>
          <w:marTop w:val="0"/>
          <w:marBottom w:val="0"/>
          <w:divBdr>
            <w:top w:val="none" w:sz="0" w:space="0" w:color="auto"/>
            <w:left w:val="none" w:sz="0" w:space="0" w:color="auto"/>
            <w:bottom w:val="none" w:sz="0" w:space="0" w:color="auto"/>
            <w:right w:val="none" w:sz="0" w:space="0" w:color="auto"/>
          </w:divBdr>
          <w:divsChild>
            <w:div w:id="1292175676">
              <w:marLeft w:val="0"/>
              <w:marRight w:val="0"/>
              <w:marTop w:val="0"/>
              <w:marBottom w:val="0"/>
              <w:divBdr>
                <w:top w:val="none" w:sz="0" w:space="0" w:color="auto"/>
                <w:left w:val="none" w:sz="0" w:space="0" w:color="auto"/>
                <w:bottom w:val="none" w:sz="0" w:space="0" w:color="auto"/>
                <w:right w:val="none" w:sz="0" w:space="0" w:color="auto"/>
              </w:divBdr>
              <w:divsChild>
                <w:div w:id="18033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3229">
      <w:bodyDiv w:val="1"/>
      <w:marLeft w:val="0"/>
      <w:marRight w:val="0"/>
      <w:marTop w:val="0"/>
      <w:marBottom w:val="0"/>
      <w:divBdr>
        <w:top w:val="none" w:sz="0" w:space="0" w:color="auto"/>
        <w:left w:val="none" w:sz="0" w:space="0" w:color="auto"/>
        <w:bottom w:val="none" w:sz="0" w:space="0" w:color="auto"/>
        <w:right w:val="none" w:sz="0" w:space="0" w:color="auto"/>
      </w:divBdr>
      <w:divsChild>
        <w:div w:id="1502887672">
          <w:marLeft w:val="0"/>
          <w:marRight w:val="0"/>
          <w:marTop w:val="0"/>
          <w:marBottom w:val="0"/>
          <w:divBdr>
            <w:top w:val="none" w:sz="0" w:space="0" w:color="auto"/>
            <w:left w:val="none" w:sz="0" w:space="0" w:color="auto"/>
            <w:bottom w:val="none" w:sz="0" w:space="0" w:color="auto"/>
            <w:right w:val="none" w:sz="0" w:space="0" w:color="auto"/>
          </w:divBdr>
          <w:divsChild>
            <w:div w:id="748503030">
              <w:marLeft w:val="0"/>
              <w:marRight w:val="0"/>
              <w:marTop w:val="0"/>
              <w:marBottom w:val="0"/>
              <w:divBdr>
                <w:top w:val="none" w:sz="0" w:space="0" w:color="auto"/>
                <w:left w:val="none" w:sz="0" w:space="0" w:color="auto"/>
                <w:bottom w:val="none" w:sz="0" w:space="0" w:color="auto"/>
                <w:right w:val="none" w:sz="0" w:space="0" w:color="auto"/>
              </w:divBdr>
              <w:divsChild>
                <w:div w:id="12410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737">
      <w:bodyDiv w:val="1"/>
      <w:marLeft w:val="0"/>
      <w:marRight w:val="0"/>
      <w:marTop w:val="0"/>
      <w:marBottom w:val="0"/>
      <w:divBdr>
        <w:top w:val="none" w:sz="0" w:space="0" w:color="auto"/>
        <w:left w:val="none" w:sz="0" w:space="0" w:color="auto"/>
        <w:bottom w:val="none" w:sz="0" w:space="0" w:color="auto"/>
        <w:right w:val="none" w:sz="0" w:space="0" w:color="auto"/>
      </w:divBdr>
    </w:div>
    <w:div w:id="1145319875">
      <w:bodyDiv w:val="1"/>
      <w:marLeft w:val="0"/>
      <w:marRight w:val="0"/>
      <w:marTop w:val="0"/>
      <w:marBottom w:val="0"/>
      <w:divBdr>
        <w:top w:val="none" w:sz="0" w:space="0" w:color="auto"/>
        <w:left w:val="none" w:sz="0" w:space="0" w:color="auto"/>
        <w:bottom w:val="none" w:sz="0" w:space="0" w:color="auto"/>
        <w:right w:val="none" w:sz="0" w:space="0" w:color="auto"/>
      </w:divBdr>
    </w:div>
    <w:div w:id="1161698610">
      <w:bodyDiv w:val="1"/>
      <w:marLeft w:val="0"/>
      <w:marRight w:val="0"/>
      <w:marTop w:val="0"/>
      <w:marBottom w:val="0"/>
      <w:divBdr>
        <w:top w:val="none" w:sz="0" w:space="0" w:color="auto"/>
        <w:left w:val="none" w:sz="0" w:space="0" w:color="auto"/>
        <w:bottom w:val="none" w:sz="0" w:space="0" w:color="auto"/>
        <w:right w:val="none" w:sz="0" w:space="0" w:color="auto"/>
      </w:divBdr>
      <w:divsChild>
        <w:div w:id="1491631985">
          <w:marLeft w:val="0"/>
          <w:marRight w:val="0"/>
          <w:marTop w:val="0"/>
          <w:marBottom w:val="0"/>
          <w:divBdr>
            <w:top w:val="none" w:sz="0" w:space="0" w:color="auto"/>
            <w:left w:val="none" w:sz="0" w:space="0" w:color="auto"/>
            <w:bottom w:val="none" w:sz="0" w:space="0" w:color="auto"/>
            <w:right w:val="none" w:sz="0" w:space="0" w:color="auto"/>
          </w:divBdr>
          <w:divsChild>
            <w:div w:id="1541892799">
              <w:marLeft w:val="0"/>
              <w:marRight w:val="0"/>
              <w:marTop w:val="0"/>
              <w:marBottom w:val="0"/>
              <w:divBdr>
                <w:top w:val="none" w:sz="0" w:space="0" w:color="auto"/>
                <w:left w:val="none" w:sz="0" w:space="0" w:color="auto"/>
                <w:bottom w:val="none" w:sz="0" w:space="0" w:color="auto"/>
                <w:right w:val="none" w:sz="0" w:space="0" w:color="auto"/>
              </w:divBdr>
              <w:divsChild>
                <w:div w:id="2802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2436">
      <w:bodyDiv w:val="1"/>
      <w:marLeft w:val="0"/>
      <w:marRight w:val="0"/>
      <w:marTop w:val="0"/>
      <w:marBottom w:val="0"/>
      <w:divBdr>
        <w:top w:val="none" w:sz="0" w:space="0" w:color="auto"/>
        <w:left w:val="none" w:sz="0" w:space="0" w:color="auto"/>
        <w:bottom w:val="none" w:sz="0" w:space="0" w:color="auto"/>
        <w:right w:val="none" w:sz="0" w:space="0" w:color="auto"/>
      </w:divBdr>
    </w:div>
    <w:div w:id="1211268053">
      <w:bodyDiv w:val="1"/>
      <w:marLeft w:val="0"/>
      <w:marRight w:val="0"/>
      <w:marTop w:val="0"/>
      <w:marBottom w:val="0"/>
      <w:divBdr>
        <w:top w:val="none" w:sz="0" w:space="0" w:color="auto"/>
        <w:left w:val="none" w:sz="0" w:space="0" w:color="auto"/>
        <w:bottom w:val="none" w:sz="0" w:space="0" w:color="auto"/>
        <w:right w:val="none" w:sz="0" w:space="0" w:color="auto"/>
      </w:divBdr>
      <w:divsChild>
        <w:div w:id="213855377">
          <w:marLeft w:val="0"/>
          <w:marRight w:val="0"/>
          <w:marTop w:val="0"/>
          <w:marBottom w:val="0"/>
          <w:divBdr>
            <w:top w:val="none" w:sz="0" w:space="0" w:color="auto"/>
            <w:left w:val="none" w:sz="0" w:space="0" w:color="auto"/>
            <w:bottom w:val="none" w:sz="0" w:space="0" w:color="auto"/>
            <w:right w:val="none" w:sz="0" w:space="0" w:color="auto"/>
          </w:divBdr>
          <w:divsChild>
            <w:div w:id="142083469">
              <w:marLeft w:val="0"/>
              <w:marRight w:val="0"/>
              <w:marTop w:val="0"/>
              <w:marBottom w:val="0"/>
              <w:divBdr>
                <w:top w:val="none" w:sz="0" w:space="0" w:color="auto"/>
                <w:left w:val="none" w:sz="0" w:space="0" w:color="auto"/>
                <w:bottom w:val="none" w:sz="0" w:space="0" w:color="auto"/>
                <w:right w:val="none" w:sz="0" w:space="0" w:color="auto"/>
              </w:divBdr>
              <w:divsChild>
                <w:div w:id="3220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2334">
      <w:bodyDiv w:val="1"/>
      <w:marLeft w:val="0"/>
      <w:marRight w:val="0"/>
      <w:marTop w:val="0"/>
      <w:marBottom w:val="0"/>
      <w:divBdr>
        <w:top w:val="none" w:sz="0" w:space="0" w:color="auto"/>
        <w:left w:val="none" w:sz="0" w:space="0" w:color="auto"/>
        <w:bottom w:val="none" w:sz="0" w:space="0" w:color="auto"/>
        <w:right w:val="none" w:sz="0" w:space="0" w:color="auto"/>
      </w:divBdr>
    </w:div>
    <w:div w:id="1341927066">
      <w:bodyDiv w:val="1"/>
      <w:marLeft w:val="0"/>
      <w:marRight w:val="0"/>
      <w:marTop w:val="0"/>
      <w:marBottom w:val="0"/>
      <w:divBdr>
        <w:top w:val="none" w:sz="0" w:space="0" w:color="auto"/>
        <w:left w:val="none" w:sz="0" w:space="0" w:color="auto"/>
        <w:bottom w:val="none" w:sz="0" w:space="0" w:color="auto"/>
        <w:right w:val="none" w:sz="0" w:space="0" w:color="auto"/>
      </w:divBdr>
    </w:div>
    <w:div w:id="1365862482">
      <w:bodyDiv w:val="1"/>
      <w:marLeft w:val="0"/>
      <w:marRight w:val="0"/>
      <w:marTop w:val="0"/>
      <w:marBottom w:val="0"/>
      <w:divBdr>
        <w:top w:val="none" w:sz="0" w:space="0" w:color="auto"/>
        <w:left w:val="none" w:sz="0" w:space="0" w:color="auto"/>
        <w:bottom w:val="none" w:sz="0" w:space="0" w:color="auto"/>
        <w:right w:val="none" w:sz="0" w:space="0" w:color="auto"/>
      </w:divBdr>
    </w:div>
    <w:div w:id="1395156445">
      <w:bodyDiv w:val="1"/>
      <w:marLeft w:val="0"/>
      <w:marRight w:val="0"/>
      <w:marTop w:val="0"/>
      <w:marBottom w:val="0"/>
      <w:divBdr>
        <w:top w:val="none" w:sz="0" w:space="0" w:color="auto"/>
        <w:left w:val="none" w:sz="0" w:space="0" w:color="auto"/>
        <w:bottom w:val="none" w:sz="0" w:space="0" w:color="auto"/>
        <w:right w:val="none" w:sz="0" w:space="0" w:color="auto"/>
      </w:divBdr>
    </w:div>
    <w:div w:id="1409883556">
      <w:bodyDiv w:val="1"/>
      <w:marLeft w:val="0"/>
      <w:marRight w:val="0"/>
      <w:marTop w:val="0"/>
      <w:marBottom w:val="0"/>
      <w:divBdr>
        <w:top w:val="none" w:sz="0" w:space="0" w:color="auto"/>
        <w:left w:val="none" w:sz="0" w:space="0" w:color="auto"/>
        <w:bottom w:val="none" w:sz="0" w:space="0" w:color="auto"/>
        <w:right w:val="none" w:sz="0" w:space="0" w:color="auto"/>
      </w:divBdr>
    </w:div>
    <w:div w:id="1454786348">
      <w:bodyDiv w:val="1"/>
      <w:marLeft w:val="0"/>
      <w:marRight w:val="0"/>
      <w:marTop w:val="0"/>
      <w:marBottom w:val="0"/>
      <w:divBdr>
        <w:top w:val="none" w:sz="0" w:space="0" w:color="auto"/>
        <w:left w:val="none" w:sz="0" w:space="0" w:color="auto"/>
        <w:bottom w:val="none" w:sz="0" w:space="0" w:color="auto"/>
        <w:right w:val="none" w:sz="0" w:space="0" w:color="auto"/>
      </w:divBdr>
    </w:div>
    <w:div w:id="1484657077">
      <w:bodyDiv w:val="1"/>
      <w:marLeft w:val="0"/>
      <w:marRight w:val="0"/>
      <w:marTop w:val="0"/>
      <w:marBottom w:val="0"/>
      <w:divBdr>
        <w:top w:val="none" w:sz="0" w:space="0" w:color="auto"/>
        <w:left w:val="none" w:sz="0" w:space="0" w:color="auto"/>
        <w:bottom w:val="none" w:sz="0" w:space="0" w:color="auto"/>
        <w:right w:val="none" w:sz="0" w:space="0" w:color="auto"/>
      </w:divBdr>
    </w:div>
    <w:div w:id="1489440764">
      <w:bodyDiv w:val="1"/>
      <w:marLeft w:val="0"/>
      <w:marRight w:val="0"/>
      <w:marTop w:val="0"/>
      <w:marBottom w:val="0"/>
      <w:divBdr>
        <w:top w:val="none" w:sz="0" w:space="0" w:color="auto"/>
        <w:left w:val="none" w:sz="0" w:space="0" w:color="auto"/>
        <w:bottom w:val="none" w:sz="0" w:space="0" w:color="auto"/>
        <w:right w:val="none" w:sz="0" w:space="0" w:color="auto"/>
      </w:divBdr>
    </w:div>
    <w:div w:id="1585992273">
      <w:bodyDiv w:val="1"/>
      <w:marLeft w:val="0"/>
      <w:marRight w:val="0"/>
      <w:marTop w:val="0"/>
      <w:marBottom w:val="0"/>
      <w:divBdr>
        <w:top w:val="none" w:sz="0" w:space="0" w:color="auto"/>
        <w:left w:val="none" w:sz="0" w:space="0" w:color="auto"/>
        <w:bottom w:val="none" w:sz="0" w:space="0" w:color="auto"/>
        <w:right w:val="none" w:sz="0" w:space="0" w:color="auto"/>
      </w:divBdr>
    </w:div>
    <w:div w:id="1629165128">
      <w:bodyDiv w:val="1"/>
      <w:marLeft w:val="0"/>
      <w:marRight w:val="0"/>
      <w:marTop w:val="0"/>
      <w:marBottom w:val="0"/>
      <w:divBdr>
        <w:top w:val="none" w:sz="0" w:space="0" w:color="auto"/>
        <w:left w:val="none" w:sz="0" w:space="0" w:color="auto"/>
        <w:bottom w:val="none" w:sz="0" w:space="0" w:color="auto"/>
        <w:right w:val="none" w:sz="0" w:space="0" w:color="auto"/>
      </w:divBdr>
      <w:divsChild>
        <w:div w:id="1783064579">
          <w:marLeft w:val="0"/>
          <w:marRight w:val="0"/>
          <w:marTop w:val="0"/>
          <w:marBottom w:val="0"/>
          <w:divBdr>
            <w:top w:val="none" w:sz="0" w:space="0" w:color="auto"/>
            <w:left w:val="none" w:sz="0" w:space="0" w:color="auto"/>
            <w:bottom w:val="none" w:sz="0" w:space="0" w:color="auto"/>
            <w:right w:val="none" w:sz="0" w:space="0" w:color="auto"/>
          </w:divBdr>
          <w:divsChild>
            <w:div w:id="1135878032">
              <w:marLeft w:val="0"/>
              <w:marRight w:val="0"/>
              <w:marTop w:val="0"/>
              <w:marBottom w:val="0"/>
              <w:divBdr>
                <w:top w:val="none" w:sz="0" w:space="0" w:color="auto"/>
                <w:left w:val="none" w:sz="0" w:space="0" w:color="auto"/>
                <w:bottom w:val="none" w:sz="0" w:space="0" w:color="auto"/>
                <w:right w:val="none" w:sz="0" w:space="0" w:color="auto"/>
              </w:divBdr>
              <w:divsChild>
                <w:div w:id="823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4915">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893726">
      <w:bodyDiv w:val="1"/>
      <w:marLeft w:val="0"/>
      <w:marRight w:val="0"/>
      <w:marTop w:val="0"/>
      <w:marBottom w:val="0"/>
      <w:divBdr>
        <w:top w:val="none" w:sz="0" w:space="0" w:color="auto"/>
        <w:left w:val="none" w:sz="0" w:space="0" w:color="auto"/>
        <w:bottom w:val="none" w:sz="0" w:space="0" w:color="auto"/>
        <w:right w:val="none" w:sz="0" w:space="0" w:color="auto"/>
      </w:divBdr>
    </w:div>
    <w:div w:id="1697149560">
      <w:bodyDiv w:val="1"/>
      <w:marLeft w:val="0"/>
      <w:marRight w:val="0"/>
      <w:marTop w:val="0"/>
      <w:marBottom w:val="0"/>
      <w:divBdr>
        <w:top w:val="none" w:sz="0" w:space="0" w:color="auto"/>
        <w:left w:val="none" w:sz="0" w:space="0" w:color="auto"/>
        <w:bottom w:val="none" w:sz="0" w:space="0" w:color="auto"/>
        <w:right w:val="none" w:sz="0" w:space="0" w:color="auto"/>
      </w:divBdr>
    </w:div>
    <w:div w:id="1741245266">
      <w:bodyDiv w:val="1"/>
      <w:marLeft w:val="0"/>
      <w:marRight w:val="0"/>
      <w:marTop w:val="0"/>
      <w:marBottom w:val="0"/>
      <w:divBdr>
        <w:top w:val="none" w:sz="0" w:space="0" w:color="auto"/>
        <w:left w:val="none" w:sz="0" w:space="0" w:color="auto"/>
        <w:bottom w:val="none" w:sz="0" w:space="0" w:color="auto"/>
        <w:right w:val="none" w:sz="0" w:space="0" w:color="auto"/>
      </w:divBdr>
    </w:div>
    <w:div w:id="1774856396">
      <w:bodyDiv w:val="1"/>
      <w:marLeft w:val="0"/>
      <w:marRight w:val="0"/>
      <w:marTop w:val="0"/>
      <w:marBottom w:val="0"/>
      <w:divBdr>
        <w:top w:val="none" w:sz="0" w:space="0" w:color="auto"/>
        <w:left w:val="none" w:sz="0" w:space="0" w:color="auto"/>
        <w:bottom w:val="none" w:sz="0" w:space="0" w:color="auto"/>
        <w:right w:val="none" w:sz="0" w:space="0" w:color="auto"/>
      </w:divBdr>
      <w:divsChild>
        <w:div w:id="1287666051">
          <w:marLeft w:val="0"/>
          <w:marRight w:val="0"/>
          <w:marTop w:val="0"/>
          <w:marBottom w:val="0"/>
          <w:divBdr>
            <w:top w:val="none" w:sz="0" w:space="0" w:color="auto"/>
            <w:left w:val="none" w:sz="0" w:space="0" w:color="auto"/>
            <w:bottom w:val="none" w:sz="0" w:space="0" w:color="auto"/>
            <w:right w:val="none" w:sz="0" w:space="0" w:color="auto"/>
          </w:divBdr>
          <w:divsChild>
            <w:div w:id="658460920">
              <w:marLeft w:val="0"/>
              <w:marRight w:val="0"/>
              <w:marTop w:val="0"/>
              <w:marBottom w:val="0"/>
              <w:divBdr>
                <w:top w:val="none" w:sz="0" w:space="0" w:color="auto"/>
                <w:left w:val="none" w:sz="0" w:space="0" w:color="auto"/>
                <w:bottom w:val="none" w:sz="0" w:space="0" w:color="auto"/>
                <w:right w:val="none" w:sz="0" w:space="0" w:color="auto"/>
              </w:divBdr>
              <w:divsChild>
                <w:div w:id="20799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9139">
      <w:bodyDiv w:val="1"/>
      <w:marLeft w:val="0"/>
      <w:marRight w:val="0"/>
      <w:marTop w:val="0"/>
      <w:marBottom w:val="0"/>
      <w:divBdr>
        <w:top w:val="none" w:sz="0" w:space="0" w:color="auto"/>
        <w:left w:val="none" w:sz="0" w:space="0" w:color="auto"/>
        <w:bottom w:val="none" w:sz="0" w:space="0" w:color="auto"/>
        <w:right w:val="none" w:sz="0" w:space="0" w:color="auto"/>
      </w:divBdr>
    </w:div>
    <w:div w:id="1833064761">
      <w:bodyDiv w:val="1"/>
      <w:marLeft w:val="0"/>
      <w:marRight w:val="0"/>
      <w:marTop w:val="0"/>
      <w:marBottom w:val="0"/>
      <w:divBdr>
        <w:top w:val="none" w:sz="0" w:space="0" w:color="auto"/>
        <w:left w:val="none" w:sz="0" w:space="0" w:color="auto"/>
        <w:bottom w:val="none" w:sz="0" w:space="0" w:color="auto"/>
        <w:right w:val="none" w:sz="0" w:space="0" w:color="auto"/>
      </w:divBdr>
    </w:div>
    <w:div w:id="1892423532">
      <w:bodyDiv w:val="1"/>
      <w:marLeft w:val="0"/>
      <w:marRight w:val="0"/>
      <w:marTop w:val="0"/>
      <w:marBottom w:val="0"/>
      <w:divBdr>
        <w:top w:val="none" w:sz="0" w:space="0" w:color="auto"/>
        <w:left w:val="none" w:sz="0" w:space="0" w:color="auto"/>
        <w:bottom w:val="none" w:sz="0" w:space="0" w:color="auto"/>
        <w:right w:val="none" w:sz="0" w:space="0" w:color="auto"/>
      </w:divBdr>
    </w:div>
    <w:div w:id="1908496065">
      <w:bodyDiv w:val="1"/>
      <w:marLeft w:val="0"/>
      <w:marRight w:val="0"/>
      <w:marTop w:val="0"/>
      <w:marBottom w:val="0"/>
      <w:divBdr>
        <w:top w:val="none" w:sz="0" w:space="0" w:color="auto"/>
        <w:left w:val="none" w:sz="0" w:space="0" w:color="auto"/>
        <w:bottom w:val="none" w:sz="0" w:space="0" w:color="auto"/>
        <w:right w:val="none" w:sz="0" w:space="0" w:color="auto"/>
      </w:divBdr>
    </w:div>
    <w:div w:id="1944072084">
      <w:bodyDiv w:val="1"/>
      <w:marLeft w:val="0"/>
      <w:marRight w:val="0"/>
      <w:marTop w:val="0"/>
      <w:marBottom w:val="0"/>
      <w:divBdr>
        <w:top w:val="none" w:sz="0" w:space="0" w:color="auto"/>
        <w:left w:val="none" w:sz="0" w:space="0" w:color="auto"/>
        <w:bottom w:val="none" w:sz="0" w:space="0" w:color="auto"/>
        <w:right w:val="none" w:sz="0" w:space="0" w:color="auto"/>
      </w:divBdr>
    </w:div>
    <w:div w:id="1977294123">
      <w:bodyDiv w:val="1"/>
      <w:marLeft w:val="0"/>
      <w:marRight w:val="0"/>
      <w:marTop w:val="0"/>
      <w:marBottom w:val="0"/>
      <w:divBdr>
        <w:top w:val="none" w:sz="0" w:space="0" w:color="auto"/>
        <w:left w:val="none" w:sz="0" w:space="0" w:color="auto"/>
        <w:bottom w:val="none" w:sz="0" w:space="0" w:color="auto"/>
        <w:right w:val="none" w:sz="0" w:space="0" w:color="auto"/>
      </w:divBdr>
    </w:div>
    <w:div w:id="1984890527">
      <w:bodyDiv w:val="1"/>
      <w:marLeft w:val="0"/>
      <w:marRight w:val="0"/>
      <w:marTop w:val="0"/>
      <w:marBottom w:val="0"/>
      <w:divBdr>
        <w:top w:val="none" w:sz="0" w:space="0" w:color="auto"/>
        <w:left w:val="none" w:sz="0" w:space="0" w:color="auto"/>
        <w:bottom w:val="none" w:sz="0" w:space="0" w:color="auto"/>
        <w:right w:val="none" w:sz="0" w:space="0" w:color="auto"/>
      </w:divBdr>
    </w:div>
    <w:div w:id="2011592628">
      <w:bodyDiv w:val="1"/>
      <w:marLeft w:val="0"/>
      <w:marRight w:val="0"/>
      <w:marTop w:val="0"/>
      <w:marBottom w:val="0"/>
      <w:divBdr>
        <w:top w:val="none" w:sz="0" w:space="0" w:color="auto"/>
        <w:left w:val="none" w:sz="0" w:space="0" w:color="auto"/>
        <w:bottom w:val="none" w:sz="0" w:space="0" w:color="auto"/>
        <w:right w:val="none" w:sz="0" w:space="0" w:color="auto"/>
      </w:divBdr>
    </w:div>
    <w:div w:id="2045790795">
      <w:bodyDiv w:val="1"/>
      <w:marLeft w:val="0"/>
      <w:marRight w:val="0"/>
      <w:marTop w:val="0"/>
      <w:marBottom w:val="0"/>
      <w:divBdr>
        <w:top w:val="none" w:sz="0" w:space="0" w:color="auto"/>
        <w:left w:val="none" w:sz="0" w:space="0" w:color="auto"/>
        <w:bottom w:val="none" w:sz="0" w:space="0" w:color="auto"/>
        <w:right w:val="none" w:sz="0" w:space="0" w:color="auto"/>
      </w:divBdr>
    </w:div>
    <w:div w:id="2091079654">
      <w:bodyDiv w:val="1"/>
      <w:marLeft w:val="0"/>
      <w:marRight w:val="0"/>
      <w:marTop w:val="0"/>
      <w:marBottom w:val="0"/>
      <w:divBdr>
        <w:top w:val="none" w:sz="0" w:space="0" w:color="auto"/>
        <w:left w:val="none" w:sz="0" w:space="0" w:color="auto"/>
        <w:bottom w:val="none" w:sz="0" w:space="0" w:color="auto"/>
        <w:right w:val="none" w:sz="0" w:space="0" w:color="auto"/>
      </w:divBdr>
    </w:div>
    <w:div w:id="2120178073">
      <w:bodyDiv w:val="1"/>
      <w:marLeft w:val="0"/>
      <w:marRight w:val="0"/>
      <w:marTop w:val="0"/>
      <w:marBottom w:val="0"/>
      <w:divBdr>
        <w:top w:val="none" w:sz="0" w:space="0" w:color="auto"/>
        <w:left w:val="none" w:sz="0" w:space="0" w:color="auto"/>
        <w:bottom w:val="none" w:sz="0" w:space="0" w:color="auto"/>
        <w:right w:val="none" w:sz="0" w:space="0" w:color="auto"/>
      </w:divBdr>
    </w:div>
    <w:div w:id="2129084445">
      <w:bodyDiv w:val="1"/>
      <w:marLeft w:val="0"/>
      <w:marRight w:val="0"/>
      <w:marTop w:val="0"/>
      <w:marBottom w:val="0"/>
      <w:divBdr>
        <w:top w:val="none" w:sz="0" w:space="0" w:color="auto"/>
        <w:left w:val="none" w:sz="0" w:space="0" w:color="auto"/>
        <w:bottom w:val="none" w:sz="0" w:space="0" w:color="auto"/>
        <w:right w:val="none" w:sz="0" w:space="0" w:color="auto"/>
      </w:divBdr>
      <w:divsChild>
        <w:div w:id="647974934">
          <w:marLeft w:val="0"/>
          <w:marRight w:val="0"/>
          <w:marTop w:val="0"/>
          <w:marBottom w:val="0"/>
          <w:divBdr>
            <w:top w:val="none" w:sz="0" w:space="0" w:color="auto"/>
            <w:left w:val="none" w:sz="0" w:space="0" w:color="auto"/>
            <w:bottom w:val="none" w:sz="0" w:space="0" w:color="auto"/>
            <w:right w:val="none" w:sz="0" w:space="0" w:color="auto"/>
          </w:divBdr>
          <w:divsChild>
            <w:div w:id="1514959030">
              <w:marLeft w:val="0"/>
              <w:marRight w:val="0"/>
              <w:marTop w:val="0"/>
              <w:marBottom w:val="0"/>
              <w:divBdr>
                <w:top w:val="none" w:sz="0" w:space="0" w:color="auto"/>
                <w:left w:val="none" w:sz="0" w:space="0" w:color="auto"/>
                <w:bottom w:val="none" w:sz="0" w:space="0" w:color="auto"/>
                <w:right w:val="none" w:sz="0" w:space="0" w:color="auto"/>
              </w:divBdr>
              <w:divsChild>
                <w:div w:id="2516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Carlos_R._Moreno" TargetMode="Externa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Ronald_M._George" TargetMode="External"/><Relationship Id="rId11" Type="http://schemas.openxmlformats.org/officeDocument/2006/relationships/hyperlink" Target="https://en.wikipedia.org/wiki/David_Eagleson" TargetMode="External"/><Relationship Id="rId12" Type="http://schemas.openxmlformats.org/officeDocument/2006/relationships/hyperlink" Target="https://en.wikipedia.org/wiki/Janice_Rogers_Brown" TargetMode="External"/><Relationship Id="rId13" Type="http://schemas.openxmlformats.org/officeDocument/2006/relationships/hyperlink" Target="https://en.wikipedia.org/wiki/Stanley_Mosk" TargetMode="External"/><Relationship Id="rId14" Type="http://schemas.openxmlformats.org/officeDocument/2006/relationships/hyperlink" Target="https://en.wikipedia.org/wiki/Malcolm_Lucas" TargetMode="External"/><Relationship Id="rId15" Type="http://schemas.openxmlformats.org/officeDocument/2006/relationships/hyperlink" Target="https://en.wikipedia.org/w/index.php?title=Armand_Arabian&amp;action=edit&amp;redlink=1" TargetMode="External"/><Relationship Id="rId16" Type="http://schemas.openxmlformats.org/officeDocument/2006/relationships/hyperlink" Target="https://en.wikipedia.org/wiki/Edward_A._Panelli"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Marvin_R._Bax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C3C5-70BC-9646-B57B-7778B4DB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2127</Words>
  <Characters>12126</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Gordon</dc:creator>
  <cp:lastModifiedBy>Tom Gordon</cp:lastModifiedBy>
  <cp:revision>9</cp:revision>
  <cp:lastPrinted>2016-04-15T01:23:00Z</cp:lastPrinted>
  <dcterms:created xsi:type="dcterms:W3CDTF">2017-08-01T16:19:00Z</dcterms:created>
  <dcterms:modified xsi:type="dcterms:W3CDTF">2017-08-01T18:53:00Z</dcterms:modified>
</cp:coreProperties>
</file>